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260" w:rsidRPr="000C0698" w:rsidRDefault="004519FC" w:rsidP="00845C34">
      <w:pPr>
        <w:jc w:val="center"/>
        <w:rPr>
          <w:rFonts w:ascii="Arial" w:hAnsi="Arial" w:cs="Arial"/>
          <w:b/>
          <w:szCs w:val="24"/>
        </w:rPr>
      </w:pPr>
      <w:bookmarkStart w:id="0" w:name="_Toc242258647"/>
      <w:bookmarkStart w:id="1" w:name="_GoBack"/>
      <w:bookmarkEnd w:id="1"/>
      <w:r w:rsidRPr="000C0698">
        <w:rPr>
          <w:rFonts w:ascii="Arial" w:hAnsi="Arial" w:cs="Arial"/>
          <w:b/>
          <w:szCs w:val="24"/>
        </w:rPr>
        <w:t>Annex 6.2.</w:t>
      </w:r>
    </w:p>
    <w:p w:rsidR="000F214C" w:rsidRPr="00845C34" w:rsidRDefault="000F214C" w:rsidP="00AB2653">
      <w:pPr>
        <w:rPr>
          <w:rFonts w:ascii="Arial" w:hAnsi="Arial" w:cs="Arial"/>
        </w:rPr>
      </w:pPr>
    </w:p>
    <w:p w:rsidR="00AB2653" w:rsidRPr="00845C34" w:rsidRDefault="0017085A" w:rsidP="00AB2653">
      <w:pPr>
        <w:rPr>
          <w:rFonts w:ascii="Arial" w:hAnsi="Arial" w:cs="Arial"/>
          <w:b/>
        </w:rPr>
      </w:pPr>
      <w:r w:rsidRPr="00845C34">
        <w:rPr>
          <w:rFonts w:ascii="Arial" w:hAnsi="Arial" w:cs="Arial"/>
          <w:b/>
        </w:rPr>
        <w:t>For t</w:t>
      </w:r>
      <w:r w:rsidR="00560FA6" w:rsidRPr="00845C34">
        <w:rPr>
          <w:rFonts w:ascii="Arial" w:hAnsi="Arial" w:cs="Arial"/>
          <w:b/>
        </w:rPr>
        <w:t xml:space="preserve">he </w:t>
      </w:r>
      <w:proofErr w:type="gramStart"/>
      <w:r w:rsidR="00560FA6" w:rsidRPr="00845C34">
        <w:rPr>
          <w:rFonts w:ascii="Arial" w:hAnsi="Arial" w:cs="Arial"/>
          <w:b/>
        </w:rPr>
        <w:t>following  main</w:t>
      </w:r>
      <w:proofErr w:type="gramEnd"/>
      <w:r w:rsidR="00560FA6" w:rsidRPr="00845C34">
        <w:rPr>
          <w:rFonts w:ascii="Arial" w:hAnsi="Arial" w:cs="Arial"/>
          <w:b/>
        </w:rPr>
        <w:t xml:space="preserve"> subjects </w:t>
      </w:r>
      <w:bookmarkEnd w:id="0"/>
    </w:p>
    <w:p w:rsidR="00560FA6" w:rsidRPr="00845C34" w:rsidRDefault="00560FA6" w:rsidP="00AB2653">
      <w:pPr>
        <w:rPr>
          <w:rFonts w:ascii="Arial" w:hAnsi="Arial" w:cs="Arial"/>
        </w:rPr>
      </w:pPr>
    </w:p>
    <w:p w:rsidR="004519FC" w:rsidRDefault="00560FA6" w:rsidP="000C0698">
      <w:pPr>
        <w:pStyle w:val="Listaszerbekezds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45C34">
        <w:rPr>
          <w:rFonts w:ascii="Arial" w:hAnsi="Arial" w:cs="Arial"/>
          <w:sz w:val="22"/>
          <w:szCs w:val="22"/>
        </w:rPr>
        <w:t xml:space="preserve">radio-frequency channel arrangements for FS systems including bands for </w:t>
      </w:r>
      <w:proofErr w:type="spellStart"/>
      <w:r w:rsidRPr="00845C34">
        <w:rPr>
          <w:rFonts w:ascii="Arial" w:hAnsi="Arial" w:cs="Arial"/>
          <w:sz w:val="22"/>
          <w:szCs w:val="22"/>
        </w:rPr>
        <w:t>PtP</w:t>
      </w:r>
      <w:proofErr w:type="spellEnd"/>
      <w:r w:rsidRPr="00845C34">
        <w:rPr>
          <w:rFonts w:ascii="Arial" w:hAnsi="Arial" w:cs="Arial"/>
          <w:sz w:val="22"/>
          <w:szCs w:val="22"/>
        </w:rPr>
        <w:t xml:space="preserve"> and </w:t>
      </w:r>
      <w:proofErr w:type="spellStart"/>
      <w:r w:rsidRPr="00845C34">
        <w:rPr>
          <w:rFonts w:ascii="Arial" w:hAnsi="Arial" w:cs="Arial"/>
          <w:sz w:val="22"/>
          <w:szCs w:val="22"/>
        </w:rPr>
        <w:t>PmP</w:t>
      </w:r>
      <w:proofErr w:type="spellEnd"/>
      <w:r w:rsidRPr="00845C34">
        <w:rPr>
          <w:rFonts w:ascii="Arial" w:hAnsi="Arial" w:cs="Arial"/>
          <w:sz w:val="22"/>
          <w:szCs w:val="22"/>
        </w:rPr>
        <w:t xml:space="preserve"> (FWA, </w:t>
      </w:r>
      <w:r w:rsidR="0095063C" w:rsidRPr="00845C34">
        <w:rPr>
          <w:rFonts w:ascii="Arial" w:hAnsi="Arial" w:cs="Arial"/>
          <w:sz w:val="22"/>
          <w:szCs w:val="22"/>
        </w:rPr>
        <w:t xml:space="preserve">BWA, </w:t>
      </w:r>
      <w:r w:rsidRPr="00845C34">
        <w:rPr>
          <w:rFonts w:ascii="Arial" w:hAnsi="Arial" w:cs="Arial"/>
          <w:sz w:val="22"/>
          <w:szCs w:val="22"/>
        </w:rPr>
        <w:t xml:space="preserve">WAS) systems </w:t>
      </w:r>
    </w:p>
    <w:p w:rsidR="004519FC" w:rsidRDefault="00560FA6" w:rsidP="000C0698">
      <w:pPr>
        <w:pStyle w:val="Listaszerbekezds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45C34">
        <w:rPr>
          <w:rFonts w:ascii="Arial" w:hAnsi="Arial" w:cs="Arial"/>
          <w:sz w:val="22"/>
          <w:szCs w:val="22"/>
        </w:rPr>
        <w:t xml:space="preserve">coexistence and sharing conditions for FS towards </w:t>
      </w:r>
      <w:r w:rsidR="0095063C" w:rsidRPr="00845C34">
        <w:rPr>
          <w:rFonts w:ascii="Arial" w:hAnsi="Arial" w:cs="Arial"/>
          <w:sz w:val="22"/>
          <w:szCs w:val="22"/>
        </w:rPr>
        <w:t xml:space="preserve">different applications and </w:t>
      </w:r>
      <w:r w:rsidRPr="00845C34">
        <w:rPr>
          <w:rFonts w:ascii="Arial" w:hAnsi="Arial" w:cs="Arial"/>
          <w:sz w:val="22"/>
          <w:szCs w:val="22"/>
        </w:rPr>
        <w:t>radio services</w:t>
      </w:r>
    </w:p>
    <w:p w:rsidR="004519FC" w:rsidRDefault="00560FA6" w:rsidP="000C0698">
      <w:pPr>
        <w:pStyle w:val="Listaszerbekezds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45C34">
        <w:rPr>
          <w:rFonts w:ascii="Arial" w:hAnsi="Arial" w:cs="Arial"/>
          <w:sz w:val="22"/>
          <w:szCs w:val="22"/>
        </w:rPr>
        <w:t>equipment characteristics for FS</w:t>
      </w:r>
    </w:p>
    <w:p w:rsidR="0095063C" w:rsidRPr="00845C34" w:rsidRDefault="00560FA6" w:rsidP="00560FA6">
      <w:pPr>
        <w:pStyle w:val="Listaszerbekezds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proofErr w:type="gramStart"/>
      <w:r w:rsidRPr="00845C34">
        <w:rPr>
          <w:rFonts w:ascii="Arial" w:hAnsi="Arial" w:cs="Arial"/>
          <w:sz w:val="22"/>
          <w:szCs w:val="22"/>
        </w:rPr>
        <w:t>further</w:t>
      </w:r>
      <w:proofErr w:type="gramEnd"/>
      <w:r w:rsidRPr="00845C34">
        <w:rPr>
          <w:rFonts w:ascii="Arial" w:hAnsi="Arial" w:cs="Arial"/>
          <w:sz w:val="22"/>
          <w:szCs w:val="22"/>
        </w:rPr>
        <w:t xml:space="preserve"> aspects for FS</w:t>
      </w:r>
      <w:r w:rsidR="00845C34" w:rsidRPr="00845C34">
        <w:rPr>
          <w:rFonts w:ascii="Arial" w:hAnsi="Arial" w:cs="Arial"/>
          <w:sz w:val="22"/>
          <w:szCs w:val="22"/>
        </w:rPr>
        <w:t xml:space="preserve"> </w:t>
      </w:r>
      <w:r w:rsidR="0017085A" w:rsidRPr="00845C34">
        <w:rPr>
          <w:rFonts w:ascii="Arial" w:hAnsi="Arial" w:cs="Arial"/>
          <w:sz w:val="22"/>
          <w:szCs w:val="22"/>
        </w:rPr>
        <w:t xml:space="preserve">reference is done to </w:t>
      </w:r>
      <w:r w:rsidR="0095063C" w:rsidRPr="00845C34">
        <w:rPr>
          <w:rFonts w:ascii="Arial" w:hAnsi="Arial" w:cs="Arial"/>
          <w:sz w:val="22"/>
          <w:szCs w:val="22"/>
        </w:rPr>
        <w:t xml:space="preserve">the </w:t>
      </w:r>
      <w:r w:rsidR="0017085A" w:rsidRPr="00845C34">
        <w:rPr>
          <w:rFonts w:ascii="Arial" w:hAnsi="Arial" w:cs="Arial"/>
          <w:sz w:val="22"/>
          <w:szCs w:val="22"/>
        </w:rPr>
        <w:t xml:space="preserve">relevant </w:t>
      </w:r>
      <w:r w:rsidR="0095063C" w:rsidRPr="00845C34">
        <w:rPr>
          <w:rFonts w:ascii="Arial" w:hAnsi="Arial" w:cs="Arial"/>
          <w:sz w:val="22"/>
          <w:szCs w:val="22"/>
        </w:rPr>
        <w:t xml:space="preserve">existing </w:t>
      </w:r>
      <w:r w:rsidRPr="00845C34">
        <w:rPr>
          <w:rFonts w:ascii="Arial" w:hAnsi="Arial" w:cs="Arial"/>
          <w:sz w:val="22"/>
          <w:szCs w:val="22"/>
        </w:rPr>
        <w:t>d</w:t>
      </w:r>
      <w:r w:rsidR="0095063C" w:rsidRPr="00845C34">
        <w:rPr>
          <w:rFonts w:ascii="Arial" w:hAnsi="Arial" w:cs="Arial"/>
          <w:sz w:val="22"/>
          <w:szCs w:val="22"/>
        </w:rPr>
        <w:t xml:space="preserve">ocumentation </w:t>
      </w:r>
      <w:r w:rsidRPr="00845C34">
        <w:rPr>
          <w:rFonts w:ascii="Arial" w:hAnsi="Arial" w:cs="Arial"/>
          <w:sz w:val="22"/>
          <w:szCs w:val="22"/>
        </w:rPr>
        <w:t>of international organisations</w:t>
      </w:r>
      <w:r w:rsidR="0095063C" w:rsidRPr="00845C34">
        <w:rPr>
          <w:rFonts w:ascii="Arial" w:hAnsi="Arial" w:cs="Arial"/>
          <w:sz w:val="22"/>
          <w:szCs w:val="22"/>
        </w:rPr>
        <w:t xml:space="preserve"> systematically </w:t>
      </w:r>
      <w:proofErr w:type="spellStart"/>
      <w:r w:rsidR="008870D2" w:rsidRPr="00845C34">
        <w:rPr>
          <w:rFonts w:ascii="Arial" w:hAnsi="Arial" w:cs="Arial"/>
          <w:sz w:val="22"/>
          <w:szCs w:val="22"/>
        </w:rPr>
        <w:t>e.g</w:t>
      </w:r>
      <w:proofErr w:type="spellEnd"/>
      <w:r w:rsidR="008870D2" w:rsidRPr="00845C34">
        <w:rPr>
          <w:rFonts w:ascii="Arial" w:hAnsi="Arial" w:cs="Arial"/>
          <w:sz w:val="22"/>
          <w:szCs w:val="22"/>
        </w:rPr>
        <w:t xml:space="preserve"> by </w:t>
      </w:r>
      <w:r w:rsidR="0095063C" w:rsidRPr="00845C34">
        <w:rPr>
          <w:rFonts w:ascii="Arial" w:hAnsi="Arial" w:cs="Arial"/>
          <w:sz w:val="22"/>
          <w:szCs w:val="22"/>
        </w:rPr>
        <w:t>taking frequency ranges into account.</w:t>
      </w:r>
    </w:p>
    <w:p w:rsidR="0095063C" w:rsidRPr="00845C34" w:rsidRDefault="0095063C" w:rsidP="00560FA6">
      <w:pPr>
        <w:rPr>
          <w:rFonts w:ascii="Arial" w:hAnsi="Arial" w:cs="Arial"/>
        </w:rPr>
      </w:pPr>
    </w:p>
    <w:p w:rsidR="004519FC" w:rsidRDefault="0095063C" w:rsidP="000C0698">
      <w:pPr>
        <w:rPr>
          <w:rFonts w:ascii="Arial" w:hAnsi="Arial" w:cs="Arial"/>
          <w:b/>
        </w:rPr>
      </w:pPr>
      <w:r w:rsidRPr="00845C34">
        <w:rPr>
          <w:rFonts w:ascii="Arial" w:hAnsi="Arial" w:cs="Arial"/>
          <w:b/>
        </w:rPr>
        <w:t>The deliverables cover the following types of documents:</w:t>
      </w:r>
      <w:bookmarkStart w:id="2" w:name="_Toc242258650"/>
    </w:p>
    <w:p w:rsidR="00845C34" w:rsidRDefault="00845C34" w:rsidP="001D6AD9">
      <w:pPr>
        <w:rPr>
          <w:rFonts w:ascii="Arial" w:hAnsi="Arial" w:cs="Arial"/>
          <w:b/>
        </w:rPr>
      </w:pPr>
    </w:p>
    <w:p w:rsidR="001D6AD9" w:rsidRPr="00845C34" w:rsidRDefault="0095063C" w:rsidP="00845C34">
      <w:pPr>
        <w:pStyle w:val="Listaszerbekezds"/>
        <w:numPr>
          <w:ilvl w:val="0"/>
          <w:numId w:val="9"/>
        </w:numPr>
        <w:ind w:left="709"/>
        <w:rPr>
          <w:rFonts w:ascii="Arial" w:hAnsi="Arial" w:cs="Arial"/>
          <w:b/>
          <w:sz w:val="22"/>
          <w:szCs w:val="22"/>
        </w:rPr>
      </w:pPr>
      <w:r w:rsidRPr="00845C34">
        <w:rPr>
          <w:rFonts w:ascii="Arial" w:hAnsi="Arial" w:cs="Arial"/>
          <w:sz w:val="22"/>
          <w:szCs w:val="22"/>
        </w:rPr>
        <w:t xml:space="preserve"> ITU-R d</w:t>
      </w:r>
      <w:r w:rsidR="00560FA6" w:rsidRPr="00845C34">
        <w:rPr>
          <w:rFonts w:ascii="Arial" w:hAnsi="Arial" w:cs="Arial"/>
          <w:sz w:val="22"/>
          <w:szCs w:val="22"/>
        </w:rPr>
        <w:t xml:space="preserve">eliverables </w:t>
      </w:r>
      <w:bookmarkEnd w:id="2"/>
    </w:p>
    <w:p w:rsidR="004519FC" w:rsidRDefault="00AB2653" w:rsidP="000C0698">
      <w:pPr>
        <w:ind w:left="360"/>
        <w:rPr>
          <w:rFonts w:ascii="Arial" w:hAnsi="Arial" w:cs="Arial"/>
          <w:sz w:val="22"/>
          <w:szCs w:val="22"/>
        </w:rPr>
      </w:pPr>
      <w:bookmarkStart w:id="3" w:name="_Toc242258651"/>
      <w:r w:rsidRPr="00845C34">
        <w:rPr>
          <w:rFonts w:ascii="Arial" w:hAnsi="Arial" w:cs="Arial"/>
          <w:sz w:val="22"/>
          <w:szCs w:val="22"/>
        </w:rPr>
        <w:t>ITU</w:t>
      </w:r>
      <w:r w:rsidR="0095063C" w:rsidRPr="00845C34">
        <w:rPr>
          <w:rFonts w:ascii="Arial" w:hAnsi="Arial" w:cs="Arial"/>
          <w:sz w:val="22"/>
          <w:szCs w:val="22"/>
        </w:rPr>
        <w:t>-R</w:t>
      </w:r>
      <w:r w:rsidRPr="00845C34">
        <w:rPr>
          <w:rFonts w:ascii="Arial" w:hAnsi="Arial" w:cs="Arial"/>
          <w:sz w:val="22"/>
          <w:szCs w:val="22"/>
        </w:rPr>
        <w:t xml:space="preserve"> Recommendations </w:t>
      </w:r>
      <w:r w:rsidR="0095063C" w:rsidRPr="00845C34">
        <w:rPr>
          <w:rFonts w:ascii="Arial" w:hAnsi="Arial" w:cs="Arial"/>
          <w:sz w:val="22"/>
          <w:szCs w:val="22"/>
        </w:rPr>
        <w:t xml:space="preserve">F. Series </w:t>
      </w:r>
    </w:p>
    <w:p w:rsidR="004519FC" w:rsidRDefault="00AB2653" w:rsidP="000C0698">
      <w:pPr>
        <w:pStyle w:val="Listaszerbekezds"/>
        <w:ind w:left="360"/>
        <w:rPr>
          <w:rFonts w:ascii="Arial" w:hAnsi="Arial" w:cs="Arial"/>
          <w:sz w:val="22"/>
          <w:szCs w:val="22"/>
        </w:rPr>
      </w:pPr>
      <w:bookmarkStart w:id="4" w:name="_Toc242258652"/>
      <w:bookmarkEnd w:id="3"/>
      <w:r w:rsidRPr="00845C34">
        <w:rPr>
          <w:rFonts w:ascii="Arial" w:hAnsi="Arial" w:cs="Arial"/>
          <w:sz w:val="22"/>
          <w:szCs w:val="22"/>
        </w:rPr>
        <w:t xml:space="preserve">CEPT/ ECC/ERC </w:t>
      </w:r>
      <w:r w:rsidR="0095063C" w:rsidRPr="00845C34">
        <w:rPr>
          <w:rFonts w:ascii="Arial" w:hAnsi="Arial" w:cs="Arial"/>
          <w:sz w:val="22"/>
          <w:szCs w:val="22"/>
        </w:rPr>
        <w:t>d</w:t>
      </w:r>
      <w:r w:rsidR="00560FA6" w:rsidRPr="00845C34">
        <w:rPr>
          <w:rFonts w:ascii="Arial" w:hAnsi="Arial" w:cs="Arial"/>
          <w:sz w:val="22"/>
          <w:szCs w:val="22"/>
        </w:rPr>
        <w:t>eliverables</w:t>
      </w:r>
      <w:bookmarkEnd w:id="4"/>
    </w:p>
    <w:p w:rsidR="004519FC" w:rsidRDefault="00EB0D74" w:rsidP="000C0698">
      <w:pPr>
        <w:rPr>
          <w:rFonts w:ascii="Arial" w:hAnsi="Arial" w:cs="Arial"/>
          <w:sz w:val="22"/>
          <w:szCs w:val="22"/>
        </w:rPr>
      </w:pPr>
      <w:bookmarkStart w:id="5" w:name="_Toc242258653"/>
      <w:r w:rsidRPr="00845C34">
        <w:rPr>
          <w:rFonts w:ascii="Arial" w:hAnsi="Arial" w:cs="Arial"/>
          <w:sz w:val="22"/>
          <w:szCs w:val="22"/>
        </w:rPr>
        <w:t xml:space="preserve">Decisions (DEC); Recommendations (REC); </w:t>
      </w:r>
      <w:r w:rsidR="0017085A" w:rsidRPr="00845C34">
        <w:rPr>
          <w:rFonts w:ascii="Arial" w:hAnsi="Arial" w:cs="Arial"/>
          <w:sz w:val="22"/>
          <w:szCs w:val="22"/>
        </w:rPr>
        <w:t xml:space="preserve">Technical Recommendations (T/R); </w:t>
      </w:r>
      <w:r w:rsidRPr="00845C34">
        <w:rPr>
          <w:rFonts w:ascii="Arial" w:hAnsi="Arial" w:cs="Arial"/>
          <w:sz w:val="22"/>
          <w:szCs w:val="22"/>
        </w:rPr>
        <w:t>Reports (REP)</w:t>
      </w:r>
    </w:p>
    <w:p w:rsidR="004519FC" w:rsidRDefault="00AB2653" w:rsidP="000C0698">
      <w:pPr>
        <w:pStyle w:val="Listaszerbekezds"/>
        <w:ind w:left="360"/>
        <w:rPr>
          <w:color w:val="000000" w:themeColor="text1"/>
          <w:sz w:val="22"/>
          <w:szCs w:val="22"/>
        </w:rPr>
      </w:pPr>
      <w:bookmarkStart w:id="6" w:name="_Toc242258655"/>
      <w:bookmarkEnd w:id="5"/>
      <w:r w:rsidRPr="00845C34">
        <w:rPr>
          <w:rFonts w:ascii="Arial" w:hAnsi="Arial" w:cs="Arial"/>
          <w:sz w:val="22"/>
          <w:szCs w:val="22"/>
        </w:rPr>
        <w:t xml:space="preserve">ETSI </w:t>
      </w:r>
      <w:r w:rsidR="00EB0D74" w:rsidRPr="00845C34">
        <w:rPr>
          <w:rFonts w:ascii="Arial" w:hAnsi="Arial" w:cs="Arial"/>
          <w:sz w:val="22"/>
          <w:szCs w:val="22"/>
        </w:rPr>
        <w:t xml:space="preserve">deliverables </w:t>
      </w:r>
      <w:bookmarkStart w:id="7" w:name="_Toc321309902"/>
      <w:bookmarkEnd w:id="6"/>
      <w:r w:rsidR="0017085A" w:rsidRPr="00845C34">
        <w:rPr>
          <w:rFonts w:ascii="Arial" w:hAnsi="Arial" w:cs="Arial"/>
          <w:color w:val="000000" w:themeColor="text1"/>
          <w:sz w:val="22"/>
          <w:szCs w:val="22"/>
        </w:rPr>
        <w:tab/>
        <w:t>European Norms (EN);</w:t>
      </w:r>
      <w:r w:rsidR="000F64E9" w:rsidRPr="00845C34">
        <w:rPr>
          <w:rFonts w:ascii="Arial" w:hAnsi="Arial" w:cs="Arial"/>
          <w:color w:val="000000" w:themeColor="text1"/>
          <w:sz w:val="22"/>
          <w:szCs w:val="22"/>
        </w:rPr>
        <w:t xml:space="preserve"> Technical Standards (TS)</w:t>
      </w:r>
      <w:r w:rsidR="0017085A" w:rsidRPr="00845C34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:rsidR="004519FC" w:rsidRDefault="004519FC" w:rsidP="000C0698">
      <w:pPr>
        <w:pStyle w:val="Listaszerbekezds"/>
        <w:ind w:left="360"/>
        <w:rPr>
          <w:color w:val="000000" w:themeColor="text1"/>
          <w:sz w:val="22"/>
          <w:szCs w:val="22"/>
        </w:rPr>
      </w:pPr>
    </w:p>
    <w:bookmarkEnd w:id="7"/>
    <w:p w:rsidR="00CF7260" w:rsidRPr="00845C34" w:rsidRDefault="00CF7260" w:rsidP="00845C34">
      <w:pPr>
        <w:pStyle w:val="ECCTabletitle"/>
      </w:pPr>
      <w:r w:rsidRPr="00845C34">
        <w:t xml:space="preserve">Table </w:t>
      </w:r>
      <w:proofErr w:type="gramStart"/>
      <w:r w:rsidRPr="00845C34">
        <w:t>1.:</w:t>
      </w:r>
      <w:proofErr w:type="gramEnd"/>
      <w:r w:rsidRPr="00845C34">
        <w:t xml:space="preserve"> </w:t>
      </w:r>
      <w:r w:rsidR="0017085A" w:rsidRPr="00845C34">
        <w:t>Reference l</w:t>
      </w:r>
      <w:r w:rsidRPr="00845C34">
        <w:t xml:space="preserve">ist </w:t>
      </w:r>
      <w:r w:rsidR="0017085A" w:rsidRPr="00845C34">
        <w:t xml:space="preserve">for channel Arrangements for FS including </w:t>
      </w:r>
      <w:r w:rsidRPr="00845C34">
        <w:t xml:space="preserve"> </w:t>
      </w:r>
      <w:r w:rsidR="008870D2" w:rsidRPr="00845C34">
        <w:t>CEPT/</w:t>
      </w:r>
      <w:r w:rsidRPr="00845C34">
        <w:t xml:space="preserve">ECC/ERC </w:t>
      </w:r>
      <w:r w:rsidR="008870D2" w:rsidRPr="00845C34">
        <w:t xml:space="preserve"> deliverables </w:t>
      </w:r>
      <w:r w:rsidRPr="00845C34">
        <w:t xml:space="preserve">and corresponding ITU-R Recommendations </w:t>
      </w:r>
      <w:r w:rsidR="00E41BC4" w:rsidRPr="00845C34">
        <w:t xml:space="preserve"> </w:t>
      </w:r>
      <w:r w:rsidR="008870D2" w:rsidRPr="00845C34">
        <w:t xml:space="preserve">sortied by frequency bands </w:t>
      </w:r>
    </w:p>
    <w:tbl>
      <w:tblPr>
        <w:tblStyle w:val="Rcsostblzat"/>
        <w:tblW w:w="13182" w:type="dxa"/>
        <w:tblInd w:w="534" w:type="dxa"/>
        <w:tblLook w:val="04A0" w:firstRow="1" w:lastRow="0" w:firstColumn="1" w:lastColumn="0" w:noHBand="0" w:noVBand="1"/>
      </w:tblPr>
      <w:tblGrid>
        <w:gridCol w:w="1559"/>
        <w:gridCol w:w="1843"/>
        <w:gridCol w:w="3685"/>
        <w:gridCol w:w="1134"/>
        <w:gridCol w:w="3827"/>
        <w:gridCol w:w="1134"/>
      </w:tblGrid>
      <w:tr w:rsidR="00AC182D" w:rsidRPr="00845C34" w:rsidTr="00AF203F">
        <w:tc>
          <w:tcPr>
            <w:tcW w:w="1559" w:type="dxa"/>
          </w:tcPr>
          <w:p w:rsidR="00AF203F" w:rsidRPr="00845C34" w:rsidRDefault="004771AB" w:rsidP="00AF203F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Band designation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(GHz)</w:t>
            </w:r>
          </w:p>
        </w:tc>
        <w:tc>
          <w:tcPr>
            <w:tcW w:w="1843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Frequency band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(MHz)</w:t>
            </w:r>
          </w:p>
        </w:tc>
        <w:tc>
          <w:tcPr>
            <w:tcW w:w="3685" w:type="dxa"/>
          </w:tcPr>
          <w:p w:rsidR="00AF203F" w:rsidRPr="00845C34" w:rsidRDefault="0017085A" w:rsidP="00AC182D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CEPT/</w:t>
            </w:r>
            <w:r w:rsidR="00AF203F" w:rsidRPr="00845C34">
              <w:rPr>
                <w:rFonts w:ascii="Arial" w:hAnsi="Arial" w:cs="Arial"/>
                <w:sz w:val="22"/>
                <w:szCs w:val="22"/>
              </w:rPr>
              <w:t>ECC</w:t>
            </w:r>
            <w:r w:rsidRPr="00845C34">
              <w:rPr>
                <w:rFonts w:ascii="Arial" w:hAnsi="Arial" w:cs="Arial"/>
                <w:sz w:val="22"/>
                <w:szCs w:val="22"/>
              </w:rPr>
              <w:t>/ERC</w:t>
            </w:r>
            <w:r w:rsidR="00AF203F" w:rsidRPr="00845C3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45C34">
              <w:rPr>
                <w:rFonts w:ascii="Arial" w:hAnsi="Arial" w:cs="Arial"/>
                <w:sz w:val="22"/>
                <w:szCs w:val="22"/>
              </w:rPr>
              <w:t xml:space="preserve"> deliverable</w:t>
            </w:r>
          </w:p>
        </w:tc>
        <w:tc>
          <w:tcPr>
            <w:tcW w:w="1134" w:type="dxa"/>
          </w:tcPr>
          <w:p w:rsidR="00AF203F" w:rsidRPr="00845C34" w:rsidRDefault="00AC182D" w:rsidP="00AC182D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 xml:space="preserve">Date of last </w:t>
            </w:r>
            <w:r w:rsidR="00AF203F" w:rsidRPr="00845C34">
              <w:rPr>
                <w:rFonts w:ascii="Arial" w:hAnsi="Arial" w:cs="Arial"/>
                <w:sz w:val="22"/>
                <w:szCs w:val="22"/>
              </w:rPr>
              <w:t>Revis</w:t>
            </w:r>
            <w:r w:rsidRPr="00845C34">
              <w:rPr>
                <w:rFonts w:ascii="Arial" w:hAnsi="Arial" w:cs="Arial"/>
                <w:sz w:val="22"/>
                <w:szCs w:val="22"/>
              </w:rPr>
              <w:t>ion</w:t>
            </w:r>
          </w:p>
        </w:tc>
        <w:tc>
          <w:tcPr>
            <w:tcW w:w="3827" w:type="dxa"/>
          </w:tcPr>
          <w:p w:rsidR="00AF203F" w:rsidRPr="00845C34" w:rsidRDefault="00AF203F" w:rsidP="00AC182D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ITU-R Recom</w:t>
            </w:r>
            <w:r w:rsidR="0017085A" w:rsidRPr="00845C34">
              <w:rPr>
                <w:rFonts w:ascii="Arial" w:hAnsi="Arial" w:cs="Arial"/>
                <w:sz w:val="22"/>
                <w:szCs w:val="22"/>
              </w:rPr>
              <w:t>m</w:t>
            </w:r>
            <w:r w:rsidRPr="00845C34">
              <w:rPr>
                <w:rFonts w:ascii="Arial" w:hAnsi="Arial" w:cs="Arial"/>
                <w:sz w:val="22"/>
                <w:szCs w:val="22"/>
              </w:rPr>
              <w:t>endation</w:t>
            </w:r>
          </w:p>
        </w:tc>
        <w:tc>
          <w:tcPr>
            <w:tcW w:w="1134" w:type="dxa"/>
          </w:tcPr>
          <w:p w:rsidR="00AF203F" w:rsidRPr="00845C34" w:rsidRDefault="00AC182D" w:rsidP="00AC182D">
            <w:pPr>
              <w:pStyle w:val="Nincstrkz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 xml:space="preserve">Date of last </w:t>
            </w:r>
            <w:r w:rsidR="00AF203F" w:rsidRPr="00845C34">
              <w:rPr>
                <w:rFonts w:ascii="Arial" w:hAnsi="Arial" w:cs="Arial"/>
                <w:sz w:val="22"/>
                <w:szCs w:val="22"/>
              </w:rPr>
              <w:t>Revis</w:t>
            </w:r>
            <w:r w:rsidRPr="00845C34">
              <w:rPr>
                <w:rFonts w:ascii="Arial" w:hAnsi="Arial" w:cs="Arial"/>
                <w:sz w:val="22"/>
                <w:szCs w:val="22"/>
              </w:rPr>
              <w:t>ion</w:t>
            </w:r>
          </w:p>
        </w:tc>
      </w:tr>
      <w:tr w:rsidR="00AC182D" w:rsidRPr="00845C34" w:rsidTr="00115851">
        <w:tc>
          <w:tcPr>
            <w:tcW w:w="1559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1.4</w:t>
            </w:r>
          </w:p>
        </w:tc>
        <w:tc>
          <w:tcPr>
            <w:tcW w:w="1843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 xml:space="preserve">1350-1375 and </w:t>
            </w:r>
            <w:r w:rsidRPr="00845C34">
              <w:rPr>
                <w:rFonts w:ascii="Arial" w:hAnsi="Arial" w:cs="Arial"/>
                <w:sz w:val="20"/>
              </w:rPr>
              <w:br/>
              <w:t>1492-1517</w:t>
            </w:r>
          </w:p>
        </w:tc>
        <w:tc>
          <w:tcPr>
            <w:tcW w:w="3685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T/R 13-01 (Annex A)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F.1242-0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AC182D" w:rsidRPr="00845C34" w:rsidTr="00115851">
        <w:tc>
          <w:tcPr>
            <w:tcW w:w="1559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1.4</w:t>
            </w:r>
          </w:p>
        </w:tc>
        <w:tc>
          <w:tcPr>
            <w:tcW w:w="1843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 xml:space="preserve">1375-1400 and </w:t>
            </w:r>
            <w:r w:rsidRPr="00845C34">
              <w:rPr>
                <w:rFonts w:ascii="Arial" w:hAnsi="Arial" w:cs="Arial"/>
                <w:sz w:val="20"/>
              </w:rPr>
              <w:br/>
              <w:t>1427-1452</w:t>
            </w:r>
          </w:p>
        </w:tc>
        <w:tc>
          <w:tcPr>
            <w:tcW w:w="3685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T/R 13-01 (Annex B)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F.1242-0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AC182D" w:rsidRPr="00845C34" w:rsidTr="00115851">
        <w:tc>
          <w:tcPr>
            <w:tcW w:w="1559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1843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2025-2110 and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2200-2290</w:t>
            </w:r>
          </w:p>
        </w:tc>
        <w:tc>
          <w:tcPr>
            <w:tcW w:w="3685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T/R 13-01 (Annex C)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F.1098-1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1995</w:t>
            </w:r>
          </w:p>
        </w:tc>
      </w:tr>
      <w:tr w:rsidR="00AC182D" w:rsidRPr="00845C34" w:rsidTr="00115851">
        <w:tc>
          <w:tcPr>
            <w:tcW w:w="1559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lastRenderedPageBreak/>
              <w:t>2</w:t>
            </w:r>
            <w:r w:rsidR="00AC182D" w:rsidRPr="00845C34">
              <w:rPr>
                <w:rFonts w:ascii="Arial" w:hAnsi="Arial" w:cs="Arial"/>
                <w:sz w:val="20"/>
              </w:rPr>
              <w:t>.5</w:t>
            </w:r>
          </w:p>
        </w:tc>
        <w:tc>
          <w:tcPr>
            <w:tcW w:w="1843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2520-2670</w:t>
            </w:r>
          </w:p>
        </w:tc>
        <w:tc>
          <w:tcPr>
            <w:tcW w:w="3685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(Note 1)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3827" w:type="dxa"/>
          </w:tcPr>
          <w:p w:rsidR="00AF203F" w:rsidRPr="00845C34" w:rsidRDefault="00AF203F" w:rsidP="00115851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F.1243</w:t>
            </w:r>
          </w:p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AC182D" w:rsidRPr="00845C34" w:rsidTr="00115851">
        <w:tc>
          <w:tcPr>
            <w:tcW w:w="1559" w:type="dxa"/>
          </w:tcPr>
          <w:p w:rsidR="00AF203F" w:rsidRPr="00845C34" w:rsidRDefault="00AC182D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3.5</w:t>
            </w:r>
          </w:p>
        </w:tc>
        <w:tc>
          <w:tcPr>
            <w:tcW w:w="1843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3400-3600</w:t>
            </w:r>
          </w:p>
        </w:tc>
        <w:tc>
          <w:tcPr>
            <w:tcW w:w="3685" w:type="dxa"/>
          </w:tcPr>
          <w:p w:rsidR="00AF203F" w:rsidRPr="00845C34" w:rsidRDefault="00AF203F" w:rsidP="00AF203F">
            <w:pPr>
              <w:jc w:val="center"/>
              <w:rPr>
                <w:rStyle w:val="apple-style-span"/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ERC/REC 14-03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 and  block assignment)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  <w:tc>
          <w:tcPr>
            <w:tcW w:w="3827" w:type="dxa"/>
          </w:tcPr>
          <w:p w:rsidR="00AF203F" w:rsidRPr="00845C34" w:rsidRDefault="00AF203F" w:rsidP="00AF203F">
            <w:pPr>
              <w:jc w:val="center"/>
              <w:rPr>
                <w:rStyle w:val="apple-style-span"/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 xml:space="preserve">F.1488-0 </w:t>
            </w:r>
            <w:r w:rsidRPr="00845C34">
              <w:rPr>
                <w:rStyle w:val="apple-style-span"/>
                <w:rFonts w:ascii="Arial" w:hAnsi="Arial" w:cs="Arial"/>
                <w:sz w:val="20"/>
              </w:rPr>
              <w:br/>
              <w:t>(Annex 2, only 0.25 MHz basic slots)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(Block assignment)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2000</w:t>
            </w:r>
          </w:p>
        </w:tc>
      </w:tr>
      <w:tr w:rsidR="00AC182D" w:rsidRPr="00845C34" w:rsidTr="00115851">
        <w:tc>
          <w:tcPr>
            <w:tcW w:w="1559" w:type="dxa"/>
          </w:tcPr>
          <w:p w:rsidR="00AF203F" w:rsidRPr="00845C34" w:rsidRDefault="00AC182D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3.7</w:t>
            </w:r>
          </w:p>
        </w:tc>
        <w:tc>
          <w:tcPr>
            <w:tcW w:w="1843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3600-3800</w:t>
            </w:r>
          </w:p>
        </w:tc>
        <w:tc>
          <w:tcPr>
            <w:tcW w:w="3685" w:type="dxa"/>
          </w:tcPr>
          <w:p w:rsidR="00AF203F" w:rsidRPr="00845C34" w:rsidRDefault="00AF203F" w:rsidP="00AF203F">
            <w:pPr>
              <w:jc w:val="center"/>
              <w:rPr>
                <w:rStyle w:val="apple-style-span"/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ERC/REC 12-08 (Annex B - part 2)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 and  block assignment)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1998</w:t>
            </w:r>
          </w:p>
        </w:tc>
        <w:tc>
          <w:tcPr>
            <w:tcW w:w="3827" w:type="dxa"/>
          </w:tcPr>
          <w:p w:rsidR="00AF203F" w:rsidRPr="00845C34" w:rsidRDefault="00AF203F" w:rsidP="00AF203F">
            <w:pPr>
              <w:jc w:val="center"/>
              <w:rPr>
                <w:rStyle w:val="apple-style-span"/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 xml:space="preserve">F.1488-0 </w:t>
            </w:r>
            <w:r w:rsidRPr="00845C34">
              <w:rPr>
                <w:rStyle w:val="apple-style-span"/>
                <w:rFonts w:ascii="Arial" w:hAnsi="Arial" w:cs="Arial"/>
                <w:sz w:val="20"/>
              </w:rPr>
              <w:br/>
              <w:t>(Annex 2, only 0.25 MHz basic slots)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(Block assignment)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2000</w:t>
            </w:r>
          </w:p>
        </w:tc>
      </w:tr>
      <w:tr w:rsidR="00AC182D" w:rsidRPr="00845C34" w:rsidTr="00115851">
        <w:tc>
          <w:tcPr>
            <w:tcW w:w="1559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1843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3800-4200</w:t>
            </w:r>
          </w:p>
        </w:tc>
        <w:tc>
          <w:tcPr>
            <w:tcW w:w="3685" w:type="dxa"/>
          </w:tcPr>
          <w:p w:rsidR="00AF203F" w:rsidRPr="00845C34" w:rsidRDefault="00AF203F" w:rsidP="00AF203F">
            <w:pPr>
              <w:jc w:val="center"/>
              <w:rPr>
                <w:rStyle w:val="apple-style-span"/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ERC/REC 12-08 (Annex B - part 1)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115851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1998</w:t>
            </w:r>
          </w:p>
        </w:tc>
        <w:tc>
          <w:tcPr>
            <w:tcW w:w="3827" w:type="dxa"/>
          </w:tcPr>
          <w:p w:rsidR="00AF203F" w:rsidRPr="00845C34" w:rsidRDefault="00AF203F" w:rsidP="00AF203F">
            <w:pPr>
              <w:jc w:val="center"/>
              <w:rPr>
                <w:rStyle w:val="apple-style-span"/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F.382-8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2006</w:t>
            </w:r>
          </w:p>
        </w:tc>
      </w:tr>
      <w:tr w:rsidR="00AC182D" w:rsidRPr="00845C34" w:rsidTr="00AF203F">
        <w:tc>
          <w:tcPr>
            <w:tcW w:w="1559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1843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4400-5000</w:t>
            </w:r>
          </w:p>
        </w:tc>
        <w:tc>
          <w:tcPr>
            <w:tcW w:w="3685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3827" w:type="dxa"/>
          </w:tcPr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F.1099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AC182D" w:rsidRPr="00845C34" w:rsidTr="00AF203F">
        <w:tc>
          <w:tcPr>
            <w:tcW w:w="1559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1843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5725-5875</w:t>
            </w:r>
          </w:p>
        </w:tc>
        <w:tc>
          <w:tcPr>
            <w:tcW w:w="3685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ECC/REC/(06)04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2006</w:t>
            </w:r>
          </w:p>
        </w:tc>
        <w:tc>
          <w:tcPr>
            <w:tcW w:w="3827" w:type="dxa"/>
          </w:tcPr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 1399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AC182D" w:rsidRPr="00845C34" w:rsidTr="00AF203F">
        <w:tc>
          <w:tcPr>
            <w:tcW w:w="1559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6L</w:t>
            </w:r>
          </w:p>
        </w:tc>
        <w:tc>
          <w:tcPr>
            <w:tcW w:w="1843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5925-6425</w:t>
            </w:r>
          </w:p>
        </w:tc>
        <w:tc>
          <w:tcPr>
            <w:tcW w:w="3685" w:type="dxa"/>
          </w:tcPr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14-01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  <w:tc>
          <w:tcPr>
            <w:tcW w:w="3827" w:type="dxa"/>
          </w:tcPr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F.383-8</w:t>
            </w:r>
          </w:p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AC182D" w:rsidRPr="00845C34" w:rsidTr="00AF203F">
        <w:tc>
          <w:tcPr>
            <w:tcW w:w="1559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6U</w:t>
            </w:r>
          </w:p>
        </w:tc>
        <w:tc>
          <w:tcPr>
            <w:tcW w:w="1843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6425-7125</w:t>
            </w:r>
          </w:p>
        </w:tc>
        <w:tc>
          <w:tcPr>
            <w:tcW w:w="3685" w:type="dxa"/>
          </w:tcPr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14-02</w:t>
            </w:r>
          </w:p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2009</w:t>
            </w:r>
          </w:p>
        </w:tc>
        <w:tc>
          <w:tcPr>
            <w:tcW w:w="3827" w:type="dxa"/>
          </w:tcPr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F.384-11</w:t>
            </w:r>
          </w:p>
          <w:p w:rsidR="00AF203F" w:rsidRPr="00845C34" w:rsidRDefault="00AF203F" w:rsidP="00AF203F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AF203F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AF203F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1843" w:type="dxa"/>
          </w:tcPr>
          <w:p w:rsidR="00AF203F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7125-7425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ECC/REC/(02)06 (Annex 1.1 or 2.1)</w:t>
            </w:r>
          </w:p>
          <w:p w:rsidR="00AF203F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F.385-10 (Annex 1)</w:t>
            </w:r>
          </w:p>
          <w:p w:rsidR="00AF203F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AF203F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7425-7725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ECC/REC/(02)06 (Annex 1.1)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F.385-10 (Annex 1)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7425-7900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ECC/REC/(02)06 (Annex 2.2)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F.385-10 (Annex 4)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7725-8275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ECC/REC/(02)06 (Annex 1.2)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F.386-8 (Annex 6)</w:t>
            </w:r>
            <w:r w:rsidRPr="00845C34">
              <w:rPr>
                <w:rFonts w:ascii="Arial" w:hAnsi="Arial" w:cs="Arial"/>
                <w:sz w:val="20"/>
              </w:rPr>
              <w:br/>
              <w:t>(Not fully updated to ECC plan)(Note 2)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115851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7900-8500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 xml:space="preserve">ECC/REC/(02)06 </w:t>
            </w:r>
            <w:r w:rsidRPr="00845C34">
              <w:rPr>
                <w:rFonts w:ascii="Arial" w:hAnsi="Arial" w:cs="Arial"/>
                <w:sz w:val="20"/>
              </w:rPr>
              <w:t>(Annex 2.3)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F.386-8</w:t>
            </w:r>
            <w:r w:rsidRPr="00845C34">
              <w:rPr>
                <w:rFonts w:ascii="Arial" w:hAnsi="Arial" w:cs="Arial"/>
                <w:sz w:val="20"/>
              </w:rPr>
              <w:br/>
              <w:t>(Does not contain ECC plan)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115851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8275-8500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ECC/REC/(02)06 (Annex 1.3)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F.386-8 (Annex 2)</w:t>
            </w:r>
            <w:r w:rsidRPr="00845C34">
              <w:rPr>
                <w:rFonts w:ascii="Arial" w:hAnsi="Arial" w:cs="Arial"/>
                <w:sz w:val="20"/>
              </w:rPr>
              <w:br/>
              <w:t>(Not fully updated to ECC plan)(Note 2)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10000-10680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12-05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F.747-1 Annex 3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11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10700-11700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12-06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F.387-12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13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12750-13250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12-02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F.497-7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14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14250-14500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15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14500-14620 and 15230-15350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12-07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1996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F.636-4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18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17700-19700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12-03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1994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F.595-10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21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21200-21400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F.637-4 (Annex 4)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22000-22600 and 23000-23600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T/R 13-02 (Annex A.1)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F.637-4 (Annex 2)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22600-23000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T/R 13-02 (Annexes A.2, A.3)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F.637-4 (Annex 2)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Style w:val="apple-style-span"/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26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24500-26500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T/R 13-02 (Annex B)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(Channel arrangements)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ECC/REC/(11)01 (Note 3)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(Block assignment)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F.748-4 (Annex 1)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2001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28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27500-29500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T/R 13-02 (Annex C)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(Channel arrangements)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ECC/REC/(11)01 (Note 3)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(Block assignment)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F.748-4 (Annex 2)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2001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31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31000-31300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ECC/REC/(02)02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F.746-9 (Annex 7)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2009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32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31800-33400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ERC/REC/(01)02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ECC/REC/(11)01 (Note 3)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(Block assignment)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 xml:space="preserve">F.1520-3 (Annex 1) 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38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37000-39500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Recommendation T/R 12-01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F.749-3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42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40500-43500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ECC/REC/(01)04</w:t>
            </w:r>
            <w:r w:rsidRPr="00845C34">
              <w:rPr>
                <w:rFonts w:ascii="Arial" w:hAnsi="Arial" w:cs="Arial"/>
                <w:sz w:val="20"/>
              </w:rPr>
              <w:br/>
              <w:t>(Channel arrangements and/or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Block assignment)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2010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F.2005</w:t>
            </w:r>
            <w:r w:rsidRPr="00845C34">
              <w:rPr>
                <w:rFonts w:ascii="Arial" w:hAnsi="Arial" w:cs="Arial"/>
                <w:sz w:val="20"/>
              </w:rPr>
              <w:br/>
              <w:t>(Channel arrangements and/or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Block assignment)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50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48500-50200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ERC/REC 12-10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1998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52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51400-52600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ERC/REC 12-11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  <w:lang w:val="fr-FR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F.1496-1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55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55780-57000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ERC/REC 12-12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  <w:lang w:val="fr-FR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2001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F.1497-1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60</w:t>
            </w:r>
          </w:p>
        </w:tc>
        <w:tc>
          <w:tcPr>
            <w:tcW w:w="1843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57000-64000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ECC/REC/(09)01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(Use of frequency band)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2009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65</w:t>
            </w:r>
          </w:p>
        </w:tc>
        <w:tc>
          <w:tcPr>
            <w:tcW w:w="1843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64000-66000</w:t>
            </w:r>
          </w:p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ECC/REC/(05)02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(Use of frequency band)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2009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70 and 80</w:t>
            </w:r>
          </w:p>
        </w:tc>
        <w:tc>
          <w:tcPr>
            <w:tcW w:w="1843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71000-76000 and 81000-86000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ECC/REC/(05)07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2009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F.2006 (Annex 2)</w:t>
            </w:r>
            <w:r w:rsidRPr="00845C34">
              <w:rPr>
                <w:rFonts w:ascii="Arial" w:hAnsi="Arial" w:cs="Arial"/>
                <w:sz w:val="20"/>
              </w:rPr>
              <w:br/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  <w:tr w:rsidR="00AC182D" w:rsidRPr="00845C34" w:rsidTr="00AF203F">
        <w:tc>
          <w:tcPr>
            <w:tcW w:w="1559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90</w:t>
            </w:r>
          </w:p>
        </w:tc>
        <w:tc>
          <w:tcPr>
            <w:tcW w:w="1843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92000-94000 and 94100-95000</w:t>
            </w:r>
          </w:p>
        </w:tc>
        <w:tc>
          <w:tcPr>
            <w:tcW w:w="3685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-</w:t>
            </w:r>
          </w:p>
        </w:tc>
        <w:tc>
          <w:tcPr>
            <w:tcW w:w="3827" w:type="dxa"/>
          </w:tcPr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F.2004</w:t>
            </w:r>
          </w:p>
          <w:p w:rsidR="00DA5A87" w:rsidRPr="00845C34" w:rsidRDefault="00DA5A87" w:rsidP="00DA5A87">
            <w:pPr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(Channel arrangements)</w:t>
            </w:r>
          </w:p>
        </w:tc>
        <w:tc>
          <w:tcPr>
            <w:tcW w:w="1134" w:type="dxa"/>
          </w:tcPr>
          <w:p w:rsidR="00DA5A87" w:rsidRPr="00845C34" w:rsidRDefault="00DA5A87" w:rsidP="00AF203F">
            <w:pPr>
              <w:pStyle w:val="Nincstrkz"/>
              <w:jc w:val="center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2012</w:t>
            </w:r>
          </w:p>
        </w:tc>
      </w:tr>
    </w:tbl>
    <w:p w:rsidR="008870D2" w:rsidRPr="00845C34" w:rsidRDefault="008870D2" w:rsidP="00845C34">
      <w:pPr>
        <w:pStyle w:val="ECCTabletitle"/>
      </w:pPr>
      <w:r w:rsidRPr="00845C34">
        <w:t xml:space="preserve">Table </w:t>
      </w:r>
      <w:proofErr w:type="gramStart"/>
      <w:r w:rsidRPr="00845C34">
        <w:t>2.:</w:t>
      </w:r>
      <w:proofErr w:type="gramEnd"/>
      <w:r w:rsidRPr="00845C34">
        <w:t xml:space="preserve"> Reference list for </w:t>
      </w:r>
      <w:proofErr w:type="spellStart"/>
      <w:r w:rsidRPr="00845C34">
        <w:t>coexistance</w:t>
      </w:r>
      <w:proofErr w:type="spellEnd"/>
      <w:r w:rsidRPr="00845C34">
        <w:t xml:space="preserve"> and sharing conditions for FS including  CEPT/ECC/ERC deliverables sortied by frequency bands </w:t>
      </w:r>
    </w:p>
    <w:tbl>
      <w:tblPr>
        <w:tblStyle w:val="Rcsostblzat"/>
        <w:tblW w:w="12792" w:type="dxa"/>
        <w:tblInd w:w="358" w:type="dxa"/>
        <w:tblLook w:val="04A0" w:firstRow="1" w:lastRow="0" w:firstColumn="1" w:lastColumn="0" w:noHBand="0" w:noVBand="1"/>
      </w:tblPr>
      <w:tblGrid>
        <w:gridCol w:w="2302"/>
        <w:gridCol w:w="1843"/>
        <w:gridCol w:w="7796"/>
        <w:gridCol w:w="851"/>
      </w:tblGrid>
      <w:tr w:rsidR="00E41BC4" w:rsidRPr="00845C34" w:rsidTr="000C0698">
        <w:tc>
          <w:tcPr>
            <w:tcW w:w="2302" w:type="dxa"/>
          </w:tcPr>
          <w:p w:rsidR="004519FC" w:rsidRPr="000C0698" w:rsidRDefault="00E41BC4" w:rsidP="000C0698">
            <w:pPr>
              <w:pStyle w:val="Nincstrkz"/>
              <w:jc w:val="center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Frequency band</w:t>
            </w:r>
          </w:p>
        </w:tc>
        <w:tc>
          <w:tcPr>
            <w:tcW w:w="1843" w:type="dxa"/>
          </w:tcPr>
          <w:p w:rsidR="004519FC" w:rsidRPr="000C0698" w:rsidRDefault="004519FC" w:rsidP="000C0698">
            <w:pPr>
              <w:pStyle w:val="Nincstrkz"/>
              <w:jc w:val="center"/>
              <w:rPr>
                <w:rFonts w:ascii="Arial" w:hAnsi="Arial" w:cs="Arial"/>
              </w:rPr>
            </w:pPr>
            <w:r w:rsidRPr="000C0698">
              <w:rPr>
                <w:rFonts w:ascii="Arial" w:hAnsi="Arial" w:cs="Arial"/>
              </w:rPr>
              <w:t>Number</w:t>
            </w:r>
          </w:p>
        </w:tc>
        <w:tc>
          <w:tcPr>
            <w:tcW w:w="7796" w:type="dxa"/>
          </w:tcPr>
          <w:p w:rsidR="004519FC" w:rsidRPr="000C0698" w:rsidRDefault="004519FC" w:rsidP="000C0698">
            <w:pPr>
              <w:pStyle w:val="Nincstrkz"/>
              <w:jc w:val="center"/>
              <w:rPr>
                <w:rFonts w:ascii="Arial" w:hAnsi="Arial" w:cs="Arial"/>
              </w:rPr>
            </w:pPr>
            <w:r w:rsidRPr="000C0698">
              <w:rPr>
                <w:rFonts w:ascii="Arial" w:hAnsi="Arial" w:cs="Arial"/>
              </w:rPr>
              <w:t>Title</w:t>
            </w:r>
          </w:p>
        </w:tc>
        <w:tc>
          <w:tcPr>
            <w:tcW w:w="851" w:type="dxa"/>
          </w:tcPr>
          <w:p w:rsidR="004519FC" w:rsidRPr="000C0698" w:rsidRDefault="004519FC" w:rsidP="000C0698">
            <w:pPr>
              <w:pStyle w:val="Nincstrkz"/>
              <w:jc w:val="center"/>
              <w:rPr>
                <w:rFonts w:ascii="Arial" w:hAnsi="Arial" w:cs="Arial"/>
              </w:rPr>
            </w:pPr>
            <w:r w:rsidRPr="000C0698">
              <w:rPr>
                <w:rFonts w:ascii="Arial" w:hAnsi="Arial" w:cs="Arial"/>
              </w:rPr>
              <w:t>Date</w:t>
            </w:r>
          </w:p>
        </w:tc>
      </w:tr>
      <w:tr w:rsidR="00E41BC4" w:rsidRPr="00845C34" w:rsidTr="000C0698">
        <w:tc>
          <w:tcPr>
            <w:tcW w:w="2302" w:type="dxa"/>
          </w:tcPr>
          <w:p w:rsidR="004519FC" w:rsidRDefault="00E41BC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3400-3600/3600-3800 MHz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ECC/DEC/(11)06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Harmonised frequency arrangements for mobile/fixed communications network (MFCN) operating in the bands 3400-3600 MHz and 3600-3800 MHz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2011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10.6-10.68 GHz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ECC/DEC/(10)01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Sharing Conditions in the 10.6-10.68 GHz Band between FS, MS and EESS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2010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3400-3800 MHz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ECC/DEC/(07)02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rPr>
                <w:rFonts w:ascii="Arial" w:hAnsi="Arial" w:cs="Arial"/>
                <w:color w:val="000000" w:themeColor="text1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 xml:space="preserve">Availability of frequency bands between 3400-3800 MHz for the harmonised implementation of BWA 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2007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1980-2010/2170-2200 MHz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ECC/DEC/(06)10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Transitional arrangement for FS and TRR in 1980-2010/2170-2200 MHz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2006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ECC/DEC/(05)08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High density applications in the Fixed-Satellite Service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2005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27.5-29.5 GHz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ECC/DEC/(05)01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27.5-29.5 GHz by the FS and uncoordinated Earth stations of the FSS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2005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ECC/DEC/(04)10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Designated for the temporary introduction of Automotive SRR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2007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40.5-42.5 GHz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ECC/DEC/(02)04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Terrestrial (fixed service/broadcasting service) systems and uncoordinated Earth stations in the fixed satellite service and broadcasting-satellite service (space to Earth) in the band 40.5-42.5 GHz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2002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10.7-12.5 GHz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ERC/DEC/(00)08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Use of 10.7-12.5 GHz by the Fixed and Broadcasting-satellite/Fixed-satellite Service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2000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17.7-19.7 GHz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ERC/DEC/(00)07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Shared use of 17.7-19.7 GHz for the Fixed and Fixed Satellite Service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2000</w:t>
            </w:r>
          </w:p>
        </w:tc>
      </w:tr>
      <w:tr w:rsidR="00E41BC4" w:rsidRPr="00845C34" w:rsidTr="000C0698">
        <w:tc>
          <w:tcPr>
            <w:tcW w:w="2302" w:type="dxa"/>
          </w:tcPr>
          <w:p w:rsidR="00E41BC4" w:rsidRPr="00845C34" w:rsidRDefault="00E41BC4" w:rsidP="00115851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37.5-40.5 GHz</w:t>
            </w:r>
          </w:p>
        </w:tc>
        <w:tc>
          <w:tcPr>
            <w:tcW w:w="1843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ERC/DEC/(00)02</w:t>
            </w:r>
          </w:p>
        </w:tc>
        <w:tc>
          <w:tcPr>
            <w:tcW w:w="7796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color w:val="000000" w:themeColor="text1"/>
                <w:sz w:val="20"/>
              </w:rPr>
              <w:t>37.5-40.5 GHz for Fixed and Fixed Satellite Service</w:t>
            </w:r>
          </w:p>
        </w:tc>
        <w:tc>
          <w:tcPr>
            <w:tcW w:w="851" w:type="dxa"/>
          </w:tcPr>
          <w:p w:rsidR="00E41BC4" w:rsidRPr="000C0698" w:rsidRDefault="004519FC" w:rsidP="00115851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2000</w:t>
            </w:r>
          </w:p>
        </w:tc>
      </w:tr>
      <w:tr w:rsidR="004C325B" w:rsidRPr="00845C34" w:rsidTr="00845C34">
        <w:tc>
          <w:tcPr>
            <w:tcW w:w="2302" w:type="dxa"/>
          </w:tcPr>
          <w:p w:rsidR="004C325B" w:rsidRPr="00845C34" w:rsidRDefault="004C325B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40.5-43.5 GHz</w:t>
            </w:r>
          </w:p>
        </w:tc>
        <w:tc>
          <w:tcPr>
            <w:tcW w:w="1843" w:type="dxa"/>
          </w:tcPr>
          <w:p w:rsidR="004C325B" w:rsidRPr="00845C34" w:rsidRDefault="004C325B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ERC/DEC/(99)15</w:t>
            </w:r>
          </w:p>
        </w:tc>
        <w:tc>
          <w:tcPr>
            <w:tcW w:w="7796" w:type="dxa"/>
          </w:tcPr>
          <w:p w:rsidR="004C325B" w:rsidRPr="00845C34" w:rsidRDefault="004C325B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Harmonised frequency band 40.5-43.5 GHz for MWS including MWS and (P-P) FWS</w:t>
            </w:r>
          </w:p>
        </w:tc>
        <w:tc>
          <w:tcPr>
            <w:tcW w:w="851" w:type="dxa"/>
          </w:tcPr>
          <w:p w:rsidR="004C325B" w:rsidRPr="00845C34" w:rsidRDefault="004C325B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1999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7125-8500 MHz</w:t>
            </w:r>
          </w:p>
        </w:tc>
        <w:tc>
          <w:tcPr>
            <w:tcW w:w="1843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163</w:t>
            </w:r>
          </w:p>
        </w:tc>
        <w:tc>
          <w:tcPr>
            <w:tcW w:w="7796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The usage of the 7125-8500 MHz band within the CEPT for the elaboration of the revision of the ECC/REC/(02)06 from version 2002 to version 2011</w:t>
            </w:r>
          </w:p>
        </w:tc>
        <w:tc>
          <w:tcPr>
            <w:tcW w:w="851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5850-7075 MHz</w:t>
            </w:r>
          </w:p>
        </w:tc>
        <w:tc>
          <w:tcPr>
            <w:tcW w:w="1843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156</w:t>
            </w:r>
          </w:p>
        </w:tc>
        <w:tc>
          <w:tcPr>
            <w:tcW w:w="7796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HAPS and other services/systems in 5850-7075 MHz</w:t>
            </w:r>
          </w:p>
        </w:tc>
        <w:tc>
          <w:tcPr>
            <w:tcW w:w="851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2011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127</w:t>
            </w:r>
          </w:p>
        </w:tc>
        <w:tc>
          <w:tcPr>
            <w:tcW w:w="7796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The impact of receiver standards on spectrum management</w:t>
            </w:r>
          </w:p>
        </w:tc>
        <w:tc>
          <w:tcPr>
            <w:tcW w:w="851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2008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126</w:t>
            </w:r>
          </w:p>
        </w:tc>
        <w:tc>
          <w:tcPr>
            <w:tcW w:w="7796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Fixed-Mobile Convergence</w:t>
            </w:r>
          </w:p>
        </w:tc>
        <w:tc>
          <w:tcPr>
            <w:tcW w:w="851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2008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E4241F" w:rsidRPr="00845C34" w:rsidRDefault="004519FC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ECC Report 125</w:t>
            </w:r>
          </w:p>
        </w:tc>
        <w:tc>
          <w:tcPr>
            <w:tcW w:w="7796" w:type="dxa"/>
          </w:tcPr>
          <w:p w:rsidR="00E4241F" w:rsidRPr="00845C34" w:rsidRDefault="004519FC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Guidelines for impact assessment</w:t>
            </w:r>
          </w:p>
        </w:tc>
        <w:tc>
          <w:tcPr>
            <w:tcW w:w="851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2008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71-76 / 81-86 GHz</w:t>
            </w:r>
          </w:p>
        </w:tc>
        <w:tc>
          <w:tcPr>
            <w:tcW w:w="1843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124</w:t>
            </w:r>
          </w:p>
        </w:tc>
        <w:tc>
          <w:tcPr>
            <w:tcW w:w="7796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Coexistence between Fixed Service operating in 71-76 / 81-86 GHz and the passive services</w:t>
            </w:r>
          </w:p>
        </w:tc>
        <w:tc>
          <w:tcPr>
            <w:tcW w:w="851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2008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57-66 / 63-64 GHz</w:t>
            </w:r>
          </w:p>
        </w:tc>
        <w:tc>
          <w:tcPr>
            <w:tcW w:w="1843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114</w:t>
            </w:r>
          </w:p>
        </w:tc>
        <w:tc>
          <w:tcPr>
            <w:tcW w:w="7796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Compatibility studies between MGWS in frequency range 57-66 GHz and other services/systems (except ITS in 63-64 GHz)</w:t>
            </w:r>
          </w:p>
        </w:tc>
        <w:tc>
          <w:tcPr>
            <w:tcW w:w="851" w:type="dxa"/>
          </w:tcPr>
          <w:p w:rsidR="00E4241F" w:rsidRPr="00845C34" w:rsidRDefault="00E4241F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2009</w:t>
            </w:r>
          </w:p>
        </w:tc>
      </w:tr>
      <w:tr w:rsidR="00E4241F" w:rsidRPr="00845C34" w:rsidTr="00845C34">
        <w:tc>
          <w:tcPr>
            <w:tcW w:w="2302" w:type="dxa"/>
          </w:tcPr>
          <w:p w:rsidR="00E4241F" w:rsidRPr="00845C34" w:rsidRDefault="00E4241F" w:rsidP="00E4241F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63</w:t>
            </w:r>
            <w:r w:rsidR="004519FC" w:rsidRPr="000C0698">
              <w:rPr>
                <w:rFonts w:ascii="Arial" w:hAnsi="Arial" w:cs="Arial"/>
                <w:sz w:val="20"/>
              </w:rPr>
              <w:t xml:space="preserve"> GHz</w:t>
            </w:r>
          </w:p>
        </w:tc>
        <w:tc>
          <w:tcPr>
            <w:tcW w:w="1843" w:type="dxa"/>
          </w:tcPr>
          <w:p w:rsidR="00E4241F" w:rsidRPr="00845C34" w:rsidRDefault="004519FC" w:rsidP="00E4241F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ECC Report 1</w:t>
            </w:r>
            <w:r w:rsidR="00E4241F" w:rsidRPr="00845C34">
              <w:rPr>
                <w:rFonts w:ascii="Arial" w:hAnsi="Arial" w:cs="Arial"/>
                <w:sz w:val="20"/>
              </w:rPr>
              <w:t>13</w:t>
            </w:r>
          </w:p>
        </w:tc>
        <w:tc>
          <w:tcPr>
            <w:tcW w:w="7796" w:type="dxa"/>
          </w:tcPr>
          <w:p w:rsidR="00E4241F" w:rsidRPr="00845C34" w:rsidRDefault="004519FC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Compatibility studies around 63 GHz between ITS and other systems</w:t>
            </w:r>
          </w:p>
        </w:tc>
        <w:tc>
          <w:tcPr>
            <w:tcW w:w="851" w:type="dxa"/>
          </w:tcPr>
          <w:p w:rsidR="00E4241F" w:rsidRPr="00845C34" w:rsidRDefault="00E4241F" w:rsidP="00E4241F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2009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5725-5925 MHz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109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Aggregate impact from ITS, BBDR and BFWA in the 5725-5925 MHz band on the other services/systems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4519FC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3400- 3800 MHz</w:t>
            </w:r>
          </w:p>
        </w:tc>
        <w:tc>
          <w:tcPr>
            <w:tcW w:w="1843" w:type="dxa"/>
          </w:tcPr>
          <w:p w:rsidR="00845C34" w:rsidRPr="00845C34" w:rsidRDefault="00845C34" w:rsidP="00845C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100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Compatibility between BWA in the band 3400- 3800 MHz and other services</w:t>
            </w:r>
          </w:p>
        </w:tc>
        <w:tc>
          <w:tcPr>
            <w:tcW w:w="851" w:type="dxa"/>
          </w:tcPr>
          <w:p w:rsidR="00845C34" w:rsidRPr="00845C34" w:rsidRDefault="00845C34" w:rsidP="00E4241F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2007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6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091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Compatibility of ESV in the lower 6 GHz band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2006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6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076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Cross-Border coordination of Multipoint FWS in 3.4 to 33.4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2006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069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Operation of Earth stations aboard vessels within the separation distances identified in ITU RR Resolution 902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2004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79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056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Automotive collision warning SRR operating at 79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2004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58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054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EIRP of Terrestrial Fixed Links at around 58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2004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23/26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046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Immunity of 24 GHz automotive SRR from FS in 23/26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2004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3.4-3.8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033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Coexistence of FWA cells at 3.4-3.8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2003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032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Improving co-existence of Multipoint FS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2003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24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023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Compatibility of 24 GHz Automotive Radars with FS, EESS, Radio Astronomy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2003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24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020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Methodology to determine the density of Fixed Service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2002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019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Fixed Service for UMTS/IMT-2000 infrastructure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2002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10.6-10.7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ECC Report 018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- RAS operating in the band 10.6-10.7 GHz and other services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2002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4519FC" w:rsidP="00845C34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ECC Report 0</w:t>
            </w:r>
            <w:r w:rsidR="00845C34" w:rsidRPr="00845C34">
              <w:rPr>
                <w:rFonts w:ascii="Arial" w:hAnsi="Arial" w:cs="Arial"/>
                <w:sz w:val="20"/>
              </w:rPr>
              <w:t>03</w:t>
            </w:r>
          </w:p>
        </w:tc>
        <w:tc>
          <w:tcPr>
            <w:tcW w:w="7796" w:type="dxa"/>
          </w:tcPr>
          <w:p w:rsidR="00845C34" w:rsidRPr="00845C34" w:rsidRDefault="004519FC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Fixed service in Europe current use and future trends POST-2002</w:t>
            </w:r>
          </w:p>
        </w:tc>
        <w:tc>
          <w:tcPr>
            <w:tcW w:w="851" w:type="dxa"/>
          </w:tcPr>
          <w:p w:rsidR="00845C34" w:rsidRPr="00845C34" w:rsidRDefault="00845C34" w:rsidP="00845C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2002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24.5 - 26.5 GHz</w:t>
            </w:r>
          </w:p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27.5 - 29.5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099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Coexistence of two FWA cells in the 24.5 - 26.5 GHz and 27.5 - 29.5 GHz bands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2000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097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Fixed Wireless Access (FWA) spectrum engineering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2000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068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Monte-Carlo Radio Simulation Methodology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2002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2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055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Unwanted emission interference from mobile earth stations into fixed service receivers in the 2 GHz band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051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between military and civil radio services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55.22 - 55.78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046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fixed service and Earth exploration-satellite service in 55.22 - 55.78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50.2 - 66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045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Fixed and Earth Exploration Satellite (passive) Services in 50.2 - 66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040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Fixed service system parameters for frequency sharing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1997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14.25 - 14.5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039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between fixed links and SNG in the 14.25 - 14.5 GHz band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1995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036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Fixed Service and Radio Astronomy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1995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above 20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033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The use of frequencies above 20 GHz by fixed services and ENG/OB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1994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025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European Common Allocation Table (ECA)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2015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54.25-57.2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019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Earth Exploration satellite services (passive) and Fixed Services in the band 54.25 - 57.2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1993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38 GHz</w:t>
            </w: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ERC Report 016</w:t>
            </w: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Sharing terrestrial fixed service and space research/EES (S - E) at 38 GHz</w:t>
            </w: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1992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845C34">
            <w:pPr>
              <w:pStyle w:val="Nincstrkz"/>
              <w:rPr>
                <w:rFonts w:ascii="Arial" w:hAnsi="Arial" w:cs="Arial"/>
                <w:color w:val="000000" w:themeColor="text1"/>
                <w:sz w:val="20"/>
              </w:rPr>
            </w:pPr>
            <w:r w:rsidRPr="00845C34">
              <w:rPr>
                <w:rFonts w:ascii="Arial" w:hAnsi="Arial" w:cs="Arial"/>
                <w:color w:val="000000" w:themeColor="text1"/>
                <w:sz w:val="20"/>
              </w:rPr>
              <w:t>38 GHz</w:t>
            </w:r>
          </w:p>
        </w:tc>
        <w:tc>
          <w:tcPr>
            <w:tcW w:w="1843" w:type="dxa"/>
          </w:tcPr>
          <w:p w:rsidR="00845C34" w:rsidRPr="00845C34" w:rsidRDefault="004519FC" w:rsidP="00845C34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ERC Report 0</w:t>
            </w:r>
            <w:r w:rsidR="00845C34" w:rsidRPr="00845C34">
              <w:rPr>
                <w:rFonts w:ascii="Arial" w:hAnsi="Arial" w:cs="Arial"/>
                <w:sz w:val="20"/>
              </w:rPr>
              <w:t>06</w:t>
            </w:r>
          </w:p>
        </w:tc>
        <w:tc>
          <w:tcPr>
            <w:tcW w:w="7796" w:type="dxa"/>
          </w:tcPr>
          <w:p w:rsidR="00845C34" w:rsidRPr="00845C34" w:rsidRDefault="004519FC" w:rsidP="00301A34">
            <w:pPr>
              <w:pStyle w:val="Nincstrkz"/>
              <w:rPr>
                <w:rFonts w:ascii="Arial" w:hAnsi="Arial" w:cs="Arial"/>
                <w:sz w:val="20"/>
              </w:rPr>
            </w:pPr>
            <w:r w:rsidRPr="000C0698">
              <w:rPr>
                <w:rFonts w:ascii="Arial" w:hAnsi="Arial" w:cs="Arial"/>
                <w:sz w:val="20"/>
              </w:rPr>
              <w:t>Compatibility between RLANs and the Fixed Service</w:t>
            </w:r>
          </w:p>
        </w:tc>
        <w:tc>
          <w:tcPr>
            <w:tcW w:w="851" w:type="dxa"/>
          </w:tcPr>
          <w:p w:rsidR="00845C34" w:rsidRPr="00845C34" w:rsidRDefault="00845C34" w:rsidP="00845C34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1991</w:t>
            </w:r>
          </w:p>
        </w:tc>
      </w:tr>
      <w:tr w:rsidR="00845C34" w:rsidRPr="00845C34" w:rsidTr="00845C34">
        <w:tc>
          <w:tcPr>
            <w:tcW w:w="2302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color w:val="000000" w:themeColor="text1"/>
                <w:sz w:val="20"/>
                <w:highlight w:val="yellow"/>
              </w:rPr>
            </w:pPr>
          </w:p>
        </w:tc>
        <w:tc>
          <w:tcPr>
            <w:tcW w:w="1843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  <w:highlight w:val="yellow"/>
              </w:rPr>
            </w:pPr>
          </w:p>
        </w:tc>
        <w:tc>
          <w:tcPr>
            <w:tcW w:w="7796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  <w:highlight w:val="yellow"/>
              </w:rPr>
            </w:pPr>
          </w:p>
        </w:tc>
        <w:tc>
          <w:tcPr>
            <w:tcW w:w="851" w:type="dxa"/>
          </w:tcPr>
          <w:p w:rsidR="00845C34" w:rsidRPr="00845C34" w:rsidRDefault="00845C34" w:rsidP="00301A34">
            <w:pPr>
              <w:pStyle w:val="Nincstrkz"/>
              <w:rPr>
                <w:rFonts w:ascii="Arial" w:hAnsi="Arial" w:cs="Arial"/>
                <w:sz w:val="20"/>
                <w:highlight w:val="yellow"/>
              </w:rPr>
            </w:pPr>
          </w:p>
        </w:tc>
      </w:tr>
    </w:tbl>
    <w:p w:rsidR="00B75EEE" w:rsidRPr="00845C34" w:rsidRDefault="00B75EEE" w:rsidP="00B75EEE">
      <w:pPr>
        <w:pStyle w:val="ECCParagraph"/>
        <w:rPr>
          <w:rFonts w:cs="Arial"/>
        </w:rPr>
      </w:pPr>
    </w:p>
    <w:p w:rsidR="00CF7260" w:rsidRPr="00845C34" w:rsidRDefault="00CF7260" w:rsidP="00CF7260">
      <w:pPr>
        <w:pStyle w:val="ECCParagraph"/>
        <w:rPr>
          <w:rFonts w:cs="Arial"/>
        </w:rPr>
      </w:pPr>
      <w:bookmarkStart w:id="8" w:name="2411"/>
      <w:bookmarkEnd w:id="8"/>
    </w:p>
    <w:p w:rsidR="00CF7260" w:rsidRPr="00845C34" w:rsidRDefault="00CF7260" w:rsidP="00CF7260">
      <w:pPr>
        <w:pStyle w:val="ECCParagraph"/>
        <w:rPr>
          <w:rFonts w:cs="Arial"/>
        </w:rPr>
        <w:sectPr w:rsidR="00CF7260" w:rsidRPr="00845C34" w:rsidSect="0011585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6840" w:h="11907" w:orient="landscape" w:code="9"/>
          <w:pgMar w:top="1134" w:right="1440" w:bottom="1134" w:left="1440" w:header="709" w:footer="709" w:gutter="0"/>
          <w:cols w:space="708"/>
          <w:docGrid w:linePitch="360"/>
        </w:sectPr>
      </w:pPr>
    </w:p>
    <w:p w:rsidR="00CF7260" w:rsidRPr="00845C34" w:rsidRDefault="004771AB" w:rsidP="00626FCC">
      <w:pPr>
        <w:pStyle w:val="Nincstrkz"/>
        <w:rPr>
          <w:rFonts w:ascii="Arial" w:hAnsi="Arial" w:cs="Arial"/>
          <w:b/>
        </w:rPr>
      </w:pPr>
      <w:bookmarkStart w:id="9" w:name="_Toc321309903"/>
      <w:r w:rsidRPr="00845C34">
        <w:rPr>
          <w:rFonts w:ascii="Arial" w:hAnsi="Arial" w:cs="Arial"/>
          <w:b/>
        </w:rPr>
        <w:t xml:space="preserve">3. </w:t>
      </w:r>
      <w:r w:rsidR="00D50DBA" w:rsidRPr="00845C34">
        <w:rPr>
          <w:rFonts w:ascii="Arial" w:hAnsi="Arial" w:cs="Arial"/>
          <w:b/>
        </w:rPr>
        <w:t>Reference l</w:t>
      </w:r>
      <w:r w:rsidR="00CF7260" w:rsidRPr="00845C34">
        <w:rPr>
          <w:rFonts w:ascii="Arial" w:hAnsi="Arial" w:cs="Arial"/>
          <w:b/>
        </w:rPr>
        <w:t>ist</w:t>
      </w:r>
      <w:r w:rsidRPr="00845C34">
        <w:rPr>
          <w:rFonts w:ascii="Arial" w:hAnsi="Arial" w:cs="Arial"/>
          <w:b/>
        </w:rPr>
        <w:t>s</w:t>
      </w:r>
      <w:r w:rsidR="00CF7260" w:rsidRPr="00845C34">
        <w:rPr>
          <w:rFonts w:ascii="Arial" w:hAnsi="Arial" w:cs="Arial"/>
          <w:b/>
        </w:rPr>
        <w:t xml:space="preserve"> of relevant ETSI standards</w:t>
      </w:r>
      <w:bookmarkEnd w:id="9"/>
      <w:r w:rsidRPr="00845C34">
        <w:rPr>
          <w:rFonts w:ascii="Arial" w:hAnsi="Arial" w:cs="Arial"/>
          <w:b/>
        </w:rPr>
        <w:t xml:space="preserve"> for </w:t>
      </w:r>
      <w:r w:rsidR="00845C34" w:rsidRPr="00845C34">
        <w:rPr>
          <w:rFonts w:ascii="Arial" w:hAnsi="Arial" w:cs="Arial"/>
          <w:b/>
        </w:rPr>
        <w:t>e</w:t>
      </w:r>
      <w:r w:rsidRPr="00845C34">
        <w:rPr>
          <w:rFonts w:ascii="Arial" w:hAnsi="Arial" w:cs="Arial"/>
          <w:b/>
        </w:rPr>
        <w:t xml:space="preserve">quipment characteristics for FS  </w:t>
      </w:r>
    </w:p>
    <w:p w:rsidR="00626FCC" w:rsidRPr="00845C34" w:rsidRDefault="00626FCC" w:rsidP="00626FCC">
      <w:pPr>
        <w:pStyle w:val="Nincstrkz"/>
        <w:rPr>
          <w:rFonts w:ascii="Arial" w:hAnsi="Arial" w:cs="Arial"/>
          <w:b/>
        </w:rPr>
      </w:pPr>
    </w:p>
    <w:p w:rsidR="00CF7260" w:rsidRPr="00845C34" w:rsidRDefault="00D50DBA" w:rsidP="00626FCC">
      <w:pPr>
        <w:pStyle w:val="Nincstrkz"/>
        <w:rPr>
          <w:rFonts w:ascii="Arial" w:hAnsi="Arial" w:cs="Arial"/>
          <w:b/>
        </w:rPr>
      </w:pPr>
      <w:r w:rsidRPr="00845C34">
        <w:rPr>
          <w:rFonts w:ascii="Arial" w:hAnsi="Arial" w:cs="Arial"/>
          <w:b/>
        </w:rPr>
        <w:t xml:space="preserve">3.1. </w:t>
      </w:r>
      <w:r w:rsidR="00CF7260" w:rsidRPr="00845C34">
        <w:rPr>
          <w:rFonts w:ascii="Arial" w:hAnsi="Arial" w:cs="Arial"/>
          <w:b/>
        </w:rPr>
        <w:t>Standards for P-P FS systems</w:t>
      </w:r>
    </w:p>
    <w:p w:rsidR="00CF7260" w:rsidRPr="00845C34" w:rsidRDefault="00CF7260" w:rsidP="00626FCC">
      <w:pPr>
        <w:pStyle w:val="Nincstrkz"/>
        <w:jc w:val="both"/>
        <w:rPr>
          <w:rFonts w:ascii="Arial" w:hAnsi="Arial" w:cs="Arial"/>
          <w:snapToGrid w:val="0"/>
          <w:sz w:val="22"/>
          <w:szCs w:val="22"/>
          <w:lang w:eastAsia="fr-FR"/>
        </w:rPr>
      </w:pPr>
      <w:r w:rsidRPr="00845C34">
        <w:rPr>
          <w:rFonts w:ascii="Arial" w:hAnsi="Arial" w:cs="Arial"/>
          <w:snapToGrid w:val="0"/>
          <w:sz w:val="22"/>
          <w:szCs w:val="22"/>
          <w:lang w:eastAsia="fr-FR"/>
        </w:rPr>
        <w:t xml:space="preserve">Standard for P-P systems, including antennas, cover a very large range of traffic capacities, channel separations (CS), modulation formats and applications over a very wide range of frequency bands that are summarized in following table. </w:t>
      </w:r>
    </w:p>
    <w:p w:rsidR="00CF7260" w:rsidRPr="00845C34" w:rsidRDefault="00CF7260" w:rsidP="00626FCC">
      <w:pPr>
        <w:pStyle w:val="Nincstrkz"/>
        <w:jc w:val="both"/>
        <w:rPr>
          <w:rFonts w:ascii="Arial" w:hAnsi="Arial" w:cs="Arial"/>
          <w:sz w:val="22"/>
          <w:szCs w:val="22"/>
        </w:rPr>
      </w:pPr>
      <w:r w:rsidRPr="00845C34">
        <w:rPr>
          <w:rFonts w:ascii="Arial" w:hAnsi="Arial" w:cs="Arial"/>
          <w:sz w:val="22"/>
          <w:szCs w:val="22"/>
        </w:rPr>
        <w:t>Digital Fixed Radio Systems (DFRS) parameters</w:t>
      </w:r>
      <w:r w:rsidR="00626FCC" w:rsidRPr="00845C34">
        <w:rPr>
          <w:rFonts w:ascii="Arial" w:hAnsi="Arial" w:cs="Arial"/>
          <w:sz w:val="22"/>
          <w:szCs w:val="22"/>
        </w:rPr>
        <w:t>:</w:t>
      </w:r>
    </w:p>
    <w:p w:rsidR="00626FCC" w:rsidRPr="00845C34" w:rsidRDefault="00626FCC" w:rsidP="00626FCC">
      <w:pPr>
        <w:pStyle w:val="Nincstrkz"/>
        <w:jc w:val="both"/>
        <w:rPr>
          <w:rFonts w:ascii="Arial" w:hAnsi="Arial" w:cs="Arial"/>
        </w:rPr>
      </w:pP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4219"/>
        <w:gridCol w:w="5103"/>
      </w:tblGrid>
      <w:tr w:rsidR="00626FCC" w:rsidRPr="00845C34" w:rsidTr="00626FCC">
        <w:tc>
          <w:tcPr>
            <w:tcW w:w="4219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Parameter</w:t>
            </w:r>
          </w:p>
        </w:tc>
        <w:tc>
          <w:tcPr>
            <w:tcW w:w="5103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Frequency range:</w:t>
            </w:r>
          </w:p>
        </w:tc>
      </w:tr>
      <w:tr w:rsidR="00626FCC" w:rsidRPr="00845C34" w:rsidTr="00626FCC">
        <w:tc>
          <w:tcPr>
            <w:tcW w:w="4219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Frequency bands</w:t>
            </w:r>
          </w:p>
        </w:tc>
        <w:tc>
          <w:tcPr>
            <w:tcW w:w="5103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from 1 GHz to 86 GHz (100 GHz)</w:t>
            </w:r>
          </w:p>
        </w:tc>
      </w:tr>
      <w:tr w:rsidR="00626FCC" w:rsidRPr="00845C34" w:rsidTr="00626FCC">
        <w:tc>
          <w:tcPr>
            <w:tcW w:w="4219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Traffic capacities</w:t>
            </w:r>
          </w:p>
        </w:tc>
        <w:tc>
          <w:tcPr>
            <w:tcW w:w="5103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 xml:space="preserve">from 9.6 </w:t>
            </w:r>
            <w:proofErr w:type="spellStart"/>
            <w:r w:rsidRPr="00845C34">
              <w:rPr>
                <w:rFonts w:ascii="Arial" w:hAnsi="Arial" w:cs="Arial"/>
                <w:sz w:val="20"/>
              </w:rPr>
              <w:t>kbit</w:t>
            </w:r>
            <w:proofErr w:type="spellEnd"/>
            <w:r w:rsidRPr="00845C34">
              <w:rPr>
                <w:rFonts w:ascii="Arial" w:hAnsi="Arial" w:cs="Arial"/>
                <w:sz w:val="20"/>
              </w:rPr>
              <w:t>/s to 622 Mbit/s and to Gigabit/s and above in the highest bands</w:t>
            </w:r>
          </w:p>
        </w:tc>
      </w:tr>
      <w:tr w:rsidR="00626FCC" w:rsidRPr="00845C34" w:rsidTr="00626FCC">
        <w:tc>
          <w:tcPr>
            <w:tcW w:w="4219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Channel separations</w:t>
            </w:r>
          </w:p>
        </w:tc>
        <w:tc>
          <w:tcPr>
            <w:tcW w:w="5103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from 25 kHz to 112 MHz and to Gigahertz and above in the highest bands</w:t>
            </w:r>
          </w:p>
        </w:tc>
      </w:tr>
      <w:tr w:rsidR="00626FCC" w:rsidRPr="00845C34" w:rsidTr="00626FCC">
        <w:tc>
          <w:tcPr>
            <w:tcW w:w="4219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Modulation formats</w:t>
            </w:r>
          </w:p>
        </w:tc>
        <w:tc>
          <w:tcPr>
            <w:tcW w:w="5103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from 2 to 512 states (amplitude and/or phase and/or frequency modulated states)</w:t>
            </w:r>
          </w:p>
        </w:tc>
      </w:tr>
      <w:tr w:rsidR="00626FCC" w:rsidRPr="00845C34" w:rsidTr="00626FCC">
        <w:tc>
          <w:tcPr>
            <w:tcW w:w="4219" w:type="dxa"/>
          </w:tcPr>
          <w:p w:rsidR="00626FCC" w:rsidRPr="00845C34" w:rsidRDefault="00626FCC" w:rsidP="00626FCC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Typical applications</w:t>
            </w:r>
          </w:p>
        </w:tc>
        <w:tc>
          <w:tcPr>
            <w:tcW w:w="5103" w:type="dxa"/>
          </w:tcPr>
          <w:p w:rsidR="00D5293B" w:rsidRPr="00845C34" w:rsidRDefault="00D5293B" w:rsidP="00D5293B">
            <w:pPr>
              <w:spacing w:line="288" w:lineRule="auto"/>
              <w:rPr>
                <w:rFonts w:ascii="Arial" w:hAnsi="Arial" w:cs="Arial"/>
                <w:b/>
                <w:sz w:val="20"/>
              </w:rPr>
            </w:pPr>
            <w:r w:rsidRPr="00845C34">
              <w:rPr>
                <w:rFonts w:ascii="Arial" w:hAnsi="Arial" w:cs="Arial"/>
                <w:b/>
                <w:sz w:val="20"/>
              </w:rPr>
              <w:t>P-P CONNECTIONS:</w:t>
            </w:r>
          </w:p>
          <w:p w:rsidR="00D5293B" w:rsidRPr="00845C34" w:rsidRDefault="00D5293B" w:rsidP="00D5293B">
            <w:pPr>
              <w:spacing w:line="288" w:lineRule="auto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rural and urban low/medium/high capacity links for mobile infrastructure, transport/trunk (long haul), FWA/BWA/MWA backhaul, access, governmental (non-military) links, private fixed networks, SAP/SAB P to P audio and video links</w:t>
            </w:r>
          </w:p>
          <w:p w:rsidR="00D5293B" w:rsidRPr="00845C34" w:rsidRDefault="00D5293B" w:rsidP="00D5293B">
            <w:pPr>
              <w:spacing w:line="288" w:lineRule="auto"/>
              <w:rPr>
                <w:rFonts w:ascii="Arial" w:hAnsi="Arial" w:cs="Arial"/>
                <w:b/>
                <w:sz w:val="20"/>
              </w:rPr>
            </w:pPr>
            <w:r w:rsidRPr="00845C34">
              <w:rPr>
                <w:rFonts w:ascii="Arial" w:hAnsi="Arial" w:cs="Arial"/>
                <w:b/>
                <w:sz w:val="20"/>
              </w:rPr>
              <w:t>STAND ALONE ANTENNAS:</w:t>
            </w:r>
          </w:p>
          <w:p w:rsidR="00626FCC" w:rsidRPr="00845C34" w:rsidRDefault="00D5293B" w:rsidP="00D5293B">
            <w:pPr>
              <w:pStyle w:val="Nincstrkz"/>
              <w:jc w:val="both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for all of the above applications when integral antennas are not employed</w:t>
            </w:r>
          </w:p>
        </w:tc>
      </w:tr>
    </w:tbl>
    <w:p w:rsidR="00626FCC" w:rsidRPr="00845C34" w:rsidRDefault="00626FCC" w:rsidP="00626FCC">
      <w:pPr>
        <w:pStyle w:val="Nincstrkz"/>
        <w:jc w:val="both"/>
        <w:rPr>
          <w:rFonts w:ascii="Arial" w:hAnsi="Arial" w:cs="Arial"/>
        </w:rPr>
      </w:pPr>
    </w:p>
    <w:p w:rsidR="00CF7260" w:rsidRPr="00845C34" w:rsidRDefault="00CF7260" w:rsidP="00CF7260">
      <w:pPr>
        <w:pStyle w:val="ECCParagraph"/>
        <w:rPr>
          <w:rFonts w:cs="Arial"/>
          <w:sz w:val="22"/>
          <w:szCs w:val="22"/>
        </w:rPr>
      </w:pPr>
      <w:r w:rsidRPr="00845C34">
        <w:rPr>
          <w:rFonts w:cs="Arial"/>
          <w:sz w:val="22"/>
          <w:szCs w:val="22"/>
        </w:rPr>
        <w:t xml:space="preserve">Generic standard for P-P digital fixed radio systems and antennas: EN 302 217. </w:t>
      </w:r>
    </w:p>
    <w:p w:rsidR="00CF7260" w:rsidRPr="00845C34" w:rsidRDefault="00CF7260" w:rsidP="00D5293B">
      <w:pPr>
        <w:pStyle w:val="Nincstrkz"/>
        <w:rPr>
          <w:rFonts w:ascii="Arial" w:hAnsi="Arial" w:cs="Arial"/>
          <w:sz w:val="22"/>
          <w:szCs w:val="22"/>
        </w:rPr>
      </w:pPr>
      <w:r w:rsidRPr="00845C34">
        <w:rPr>
          <w:rFonts w:ascii="Arial" w:hAnsi="Arial" w:cs="Arial"/>
          <w:sz w:val="22"/>
          <w:szCs w:val="22"/>
        </w:rPr>
        <w:t>EN 302 217 is a multipart standard including harmonised parts covering the essential requirements under article 3.2 of the 1999/5/EC Directive as described in the following Table.</w:t>
      </w:r>
    </w:p>
    <w:p w:rsidR="00CF7260" w:rsidRPr="00845C34" w:rsidRDefault="00CF7260" w:rsidP="00D5293B">
      <w:pPr>
        <w:pStyle w:val="Nincstrkz"/>
        <w:rPr>
          <w:rFonts w:ascii="Arial" w:hAnsi="Arial" w:cs="Arial"/>
          <w:sz w:val="22"/>
          <w:szCs w:val="22"/>
        </w:rPr>
      </w:pPr>
      <w:r w:rsidRPr="00845C34">
        <w:rPr>
          <w:rFonts w:ascii="Arial" w:hAnsi="Arial" w:cs="Arial"/>
          <w:sz w:val="22"/>
          <w:szCs w:val="22"/>
        </w:rPr>
        <w:t>EN 302 217 Multipart standard description</w:t>
      </w:r>
    </w:p>
    <w:p w:rsidR="00D5293B" w:rsidRPr="00845C34" w:rsidRDefault="00D5293B" w:rsidP="00D5293B">
      <w:pPr>
        <w:pStyle w:val="Nincstrkz"/>
        <w:rPr>
          <w:rFonts w:ascii="Arial" w:hAnsi="Arial" w:cs="Arial"/>
        </w:rPr>
      </w:pP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1668"/>
        <w:gridCol w:w="5953"/>
        <w:gridCol w:w="1701"/>
      </w:tblGrid>
      <w:tr w:rsidR="00D5293B" w:rsidRPr="00845C34" w:rsidTr="00D5293B">
        <w:tc>
          <w:tcPr>
            <w:tcW w:w="1668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Part</w:t>
            </w:r>
          </w:p>
        </w:tc>
        <w:tc>
          <w:tcPr>
            <w:tcW w:w="5953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Subject</w:t>
            </w:r>
          </w:p>
        </w:tc>
        <w:tc>
          <w:tcPr>
            <w:tcW w:w="1701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Status</w:t>
            </w:r>
          </w:p>
        </w:tc>
      </w:tr>
      <w:tr w:rsidR="00D5293B" w:rsidRPr="00845C34" w:rsidTr="00560FA6">
        <w:tc>
          <w:tcPr>
            <w:tcW w:w="1668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302 217-1</w:t>
            </w:r>
          </w:p>
        </w:tc>
        <w:tc>
          <w:tcPr>
            <w:tcW w:w="5953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Overview and system-independent common characteristics</w:t>
            </w:r>
          </w:p>
        </w:tc>
        <w:tc>
          <w:tcPr>
            <w:tcW w:w="1701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Not harmonised</w:t>
            </w:r>
          </w:p>
        </w:tc>
      </w:tr>
      <w:tr w:rsidR="00D5293B" w:rsidRPr="00845C34" w:rsidTr="00560FA6">
        <w:tc>
          <w:tcPr>
            <w:tcW w:w="1668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302 217-2-1</w:t>
            </w:r>
          </w:p>
        </w:tc>
        <w:tc>
          <w:tcPr>
            <w:tcW w:w="5953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System-dependent requirements for digital systems operating in frequency bands where frequency co-ordination is applied</w:t>
            </w:r>
          </w:p>
        </w:tc>
        <w:tc>
          <w:tcPr>
            <w:tcW w:w="1701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Not harmonised</w:t>
            </w:r>
          </w:p>
        </w:tc>
      </w:tr>
      <w:tr w:rsidR="00D5293B" w:rsidRPr="00845C34" w:rsidTr="00560FA6">
        <w:tc>
          <w:tcPr>
            <w:tcW w:w="1668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302 217-2-2</w:t>
            </w:r>
          </w:p>
        </w:tc>
        <w:tc>
          <w:tcPr>
            <w:tcW w:w="5953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Digital systems operating in frequency bands where frequency co-ordination is applied; Harmonised EN covering the essential requirements of Article 3.2 of the R&amp;TTE Directive.</w:t>
            </w:r>
          </w:p>
        </w:tc>
        <w:tc>
          <w:tcPr>
            <w:tcW w:w="1701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Harmonised</w:t>
            </w:r>
          </w:p>
        </w:tc>
      </w:tr>
      <w:tr w:rsidR="00D5293B" w:rsidRPr="00845C34" w:rsidTr="00560FA6">
        <w:tc>
          <w:tcPr>
            <w:tcW w:w="1668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302 217-3</w:t>
            </w:r>
          </w:p>
        </w:tc>
        <w:tc>
          <w:tcPr>
            <w:tcW w:w="5953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 xml:space="preserve">Equipment operating in frequency bands where both </w:t>
            </w:r>
            <w:proofErr w:type="gramStart"/>
            <w:r w:rsidRPr="00845C34">
              <w:rPr>
                <w:rFonts w:ascii="Arial" w:hAnsi="Arial" w:cs="Arial"/>
                <w:sz w:val="20"/>
              </w:rPr>
              <w:t>frequency</w:t>
            </w:r>
            <w:proofErr w:type="gramEnd"/>
            <w:r w:rsidRPr="00845C34">
              <w:rPr>
                <w:rFonts w:ascii="Arial" w:hAnsi="Arial" w:cs="Arial"/>
                <w:sz w:val="20"/>
              </w:rPr>
              <w:t xml:space="preserve"> coordinated or uncoordinated deployment might be applied; Harmonised EN covering the essential requirements of Article 3.2 of the R&amp;TTE Directive.</w:t>
            </w:r>
          </w:p>
        </w:tc>
        <w:tc>
          <w:tcPr>
            <w:tcW w:w="1701" w:type="dxa"/>
          </w:tcPr>
          <w:p w:rsidR="00D5293B" w:rsidRPr="00845C34" w:rsidRDefault="00D5293B" w:rsidP="00560FA6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Harmonised</w:t>
            </w:r>
          </w:p>
        </w:tc>
      </w:tr>
      <w:tr w:rsidR="00D5293B" w:rsidRPr="00845C34" w:rsidTr="00D5293B">
        <w:tc>
          <w:tcPr>
            <w:tcW w:w="1668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302 217-4-1</w:t>
            </w:r>
          </w:p>
        </w:tc>
        <w:tc>
          <w:tcPr>
            <w:tcW w:w="5953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System-dependent requirements for antennas</w:t>
            </w:r>
          </w:p>
        </w:tc>
        <w:tc>
          <w:tcPr>
            <w:tcW w:w="1701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Not-harmonised</w:t>
            </w:r>
          </w:p>
        </w:tc>
      </w:tr>
      <w:tr w:rsidR="00D5293B" w:rsidRPr="00845C34" w:rsidTr="00D5293B">
        <w:tc>
          <w:tcPr>
            <w:tcW w:w="1668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302 217-4-2</w:t>
            </w:r>
          </w:p>
        </w:tc>
        <w:tc>
          <w:tcPr>
            <w:tcW w:w="5953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Antennas; Harmonised EN covering the essential requirements of Article 3.2 of the R&amp;TTE Directive</w:t>
            </w:r>
          </w:p>
        </w:tc>
        <w:tc>
          <w:tcPr>
            <w:tcW w:w="1701" w:type="dxa"/>
          </w:tcPr>
          <w:p w:rsidR="00D5293B" w:rsidRPr="00845C34" w:rsidRDefault="00D5293B" w:rsidP="00D5293B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Harmonised</w:t>
            </w:r>
          </w:p>
        </w:tc>
      </w:tr>
    </w:tbl>
    <w:p w:rsidR="00D5293B" w:rsidRPr="00845C34" w:rsidRDefault="00D5293B" w:rsidP="004141B9">
      <w:pPr>
        <w:pStyle w:val="Nincstrkz"/>
        <w:rPr>
          <w:rFonts w:ascii="Arial" w:hAnsi="Arial" w:cs="Arial"/>
        </w:rPr>
      </w:pPr>
    </w:p>
    <w:p w:rsidR="00CF7260" w:rsidRPr="000C0698" w:rsidRDefault="00D50DBA" w:rsidP="004141B9">
      <w:pPr>
        <w:pStyle w:val="Nincstrkz"/>
        <w:rPr>
          <w:rFonts w:ascii="Arial" w:hAnsi="Arial" w:cs="Arial"/>
          <w:b/>
        </w:rPr>
      </w:pPr>
      <w:r w:rsidRPr="00845C34">
        <w:rPr>
          <w:rFonts w:ascii="Arial" w:hAnsi="Arial" w:cs="Arial"/>
          <w:b/>
        </w:rPr>
        <w:t>3.2</w:t>
      </w:r>
      <w:proofErr w:type="gramStart"/>
      <w:r w:rsidRPr="00845C34">
        <w:rPr>
          <w:rFonts w:ascii="Arial" w:hAnsi="Arial" w:cs="Arial"/>
          <w:b/>
        </w:rPr>
        <w:t>.</w:t>
      </w:r>
      <w:r w:rsidR="004519FC" w:rsidRPr="000C0698">
        <w:rPr>
          <w:rFonts w:ascii="Arial" w:hAnsi="Arial" w:cs="Arial"/>
          <w:b/>
        </w:rPr>
        <w:t>Standards</w:t>
      </w:r>
      <w:proofErr w:type="gramEnd"/>
      <w:r w:rsidR="004519FC" w:rsidRPr="000C0698">
        <w:rPr>
          <w:rFonts w:ascii="Arial" w:hAnsi="Arial" w:cs="Arial"/>
          <w:b/>
        </w:rPr>
        <w:t xml:space="preserve"> for Multipoint FS systems:</w:t>
      </w:r>
    </w:p>
    <w:p w:rsidR="00CF7260" w:rsidRPr="00845C34" w:rsidRDefault="00CF7260" w:rsidP="00CF7260">
      <w:pPr>
        <w:pStyle w:val="ECCParagraph"/>
        <w:rPr>
          <w:rFonts w:cs="Arial"/>
          <w:sz w:val="22"/>
          <w:szCs w:val="22"/>
        </w:rPr>
      </w:pPr>
      <w:r w:rsidRPr="00845C34">
        <w:rPr>
          <w:rFonts w:cs="Arial"/>
          <w:snapToGrid w:val="0"/>
          <w:sz w:val="22"/>
          <w:szCs w:val="22"/>
          <w:lang w:eastAsia="fr-FR"/>
        </w:rPr>
        <w:t>Standards for Multipoint systems, including antennas, cover a very large range of traffic capacities, channel separations (CS), modulation formats and applications over a very wide range of frequency bands:  from 30 MHz to 43.5 GHz for equipment and from 1 GHz to 43.5 GHz for antennas.</w:t>
      </w:r>
    </w:p>
    <w:p w:rsidR="00CF7260" w:rsidRPr="00845C34" w:rsidRDefault="00CF7260" w:rsidP="00CF7260">
      <w:pPr>
        <w:pStyle w:val="ECCParagraph"/>
        <w:rPr>
          <w:rFonts w:cs="Arial"/>
          <w:sz w:val="22"/>
          <w:szCs w:val="22"/>
        </w:rPr>
      </w:pPr>
      <w:r w:rsidRPr="00845C34">
        <w:rPr>
          <w:rFonts w:cs="Arial"/>
          <w:sz w:val="22"/>
          <w:szCs w:val="22"/>
        </w:rPr>
        <w:t>With the exception of systems and antennas dedicated to the band 40.5-43.5 GHz all other equipment operating in bands from 30 MHz to 33.4 GHz and antennas are specified in the generic standard for Multipoint digital fixed radio systems and antennas: EN 302 326.</w:t>
      </w:r>
    </w:p>
    <w:p w:rsidR="00CF7260" w:rsidRPr="00845C34" w:rsidRDefault="00CF7260" w:rsidP="00CF7260">
      <w:pPr>
        <w:pStyle w:val="ECCParagraph"/>
        <w:rPr>
          <w:rFonts w:cs="Arial"/>
          <w:sz w:val="22"/>
          <w:szCs w:val="22"/>
        </w:rPr>
      </w:pPr>
      <w:r w:rsidRPr="00845C34">
        <w:rPr>
          <w:rFonts w:cs="Arial"/>
          <w:sz w:val="22"/>
          <w:szCs w:val="22"/>
        </w:rPr>
        <w:t>The scope of this standard also includes Multipoint digital nomadic radio systems.</w:t>
      </w:r>
    </w:p>
    <w:p w:rsidR="00CF7260" w:rsidRPr="00845C34" w:rsidRDefault="00CF7260" w:rsidP="00CF7260">
      <w:pPr>
        <w:pStyle w:val="ECCParagraph"/>
        <w:rPr>
          <w:rFonts w:cs="Arial"/>
          <w:b/>
          <w:sz w:val="22"/>
          <w:szCs w:val="22"/>
        </w:rPr>
      </w:pPr>
      <w:r w:rsidRPr="00845C34">
        <w:rPr>
          <w:rFonts w:cs="Arial"/>
          <w:sz w:val="22"/>
          <w:szCs w:val="22"/>
        </w:rPr>
        <w:t>EN 302 326 is a multipart standard including harmonised parts covering the essential requirements under Article 3.2 of the Directive 1999/5/EC as described in the following Table</w:t>
      </w:r>
      <w:r w:rsidRPr="00845C34">
        <w:rPr>
          <w:rFonts w:cs="Arial"/>
          <w:b/>
          <w:sz w:val="22"/>
          <w:szCs w:val="22"/>
        </w:rPr>
        <w:t>.</w:t>
      </w:r>
    </w:p>
    <w:p w:rsidR="00CF7260" w:rsidRPr="00845C34" w:rsidRDefault="00CF7260" w:rsidP="00845C34">
      <w:pPr>
        <w:pStyle w:val="ECCTabletitle"/>
      </w:pPr>
      <w:r w:rsidRPr="00845C34">
        <w:t xml:space="preserve">EN 302 326 Multipart standard </w:t>
      </w:r>
      <w:proofErr w:type="gramStart"/>
      <w:r w:rsidRPr="00845C34">
        <w:t>description</w:t>
      </w:r>
      <w:proofErr w:type="gramEnd"/>
      <w:r w:rsidR="004141B9" w:rsidRPr="00845C34">
        <w:t>:</w:t>
      </w: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1668"/>
        <w:gridCol w:w="5953"/>
        <w:gridCol w:w="1701"/>
      </w:tblGrid>
      <w:tr w:rsidR="004141B9" w:rsidRPr="00845C34" w:rsidTr="004141B9">
        <w:tc>
          <w:tcPr>
            <w:tcW w:w="1668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Part</w:t>
            </w:r>
          </w:p>
        </w:tc>
        <w:tc>
          <w:tcPr>
            <w:tcW w:w="5953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Subject</w:t>
            </w:r>
          </w:p>
        </w:tc>
        <w:tc>
          <w:tcPr>
            <w:tcW w:w="1701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Status</w:t>
            </w:r>
          </w:p>
        </w:tc>
      </w:tr>
      <w:tr w:rsidR="004141B9" w:rsidRPr="00845C34" w:rsidTr="004141B9">
        <w:tc>
          <w:tcPr>
            <w:tcW w:w="1668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302 326-1</w:t>
            </w:r>
          </w:p>
        </w:tc>
        <w:tc>
          <w:tcPr>
            <w:tcW w:w="5953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Overview and requirements for Digital Multipoint Radio systems</w:t>
            </w:r>
          </w:p>
        </w:tc>
        <w:tc>
          <w:tcPr>
            <w:tcW w:w="1701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Not harmonised</w:t>
            </w:r>
          </w:p>
        </w:tc>
      </w:tr>
      <w:tr w:rsidR="004141B9" w:rsidRPr="00845C34" w:rsidTr="004141B9">
        <w:tc>
          <w:tcPr>
            <w:tcW w:w="1668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302 326-2</w:t>
            </w:r>
          </w:p>
        </w:tc>
        <w:tc>
          <w:tcPr>
            <w:tcW w:w="5953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Harmonised EN covering the essential requirements of Article 3.2 of the R&amp;TTE Directive for Digital Multipoint Radio Equipment</w:t>
            </w:r>
          </w:p>
        </w:tc>
        <w:tc>
          <w:tcPr>
            <w:tcW w:w="1701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Harmonised</w:t>
            </w:r>
          </w:p>
        </w:tc>
      </w:tr>
      <w:tr w:rsidR="004141B9" w:rsidRPr="00845C34" w:rsidTr="004141B9">
        <w:tc>
          <w:tcPr>
            <w:tcW w:w="1668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302 326-3</w:t>
            </w:r>
          </w:p>
        </w:tc>
        <w:tc>
          <w:tcPr>
            <w:tcW w:w="5953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Harmonised EN covering the essential requirements of Article 3.2 of the R&amp;TTE Directive for Multipoint Radio Antennas</w:t>
            </w:r>
          </w:p>
        </w:tc>
        <w:tc>
          <w:tcPr>
            <w:tcW w:w="1701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Harmonised</w:t>
            </w:r>
          </w:p>
        </w:tc>
      </w:tr>
    </w:tbl>
    <w:p w:rsidR="004141B9" w:rsidRPr="00845C34" w:rsidRDefault="004141B9" w:rsidP="00CF7260">
      <w:pPr>
        <w:pStyle w:val="ECCParagraph"/>
        <w:rPr>
          <w:rFonts w:cs="Arial"/>
        </w:rPr>
      </w:pPr>
    </w:p>
    <w:p w:rsidR="00CF7260" w:rsidRPr="00845C34" w:rsidRDefault="00CF7260" w:rsidP="00CF7260">
      <w:pPr>
        <w:pStyle w:val="ECCParagraph"/>
        <w:rPr>
          <w:rFonts w:cs="Arial"/>
          <w:sz w:val="22"/>
          <w:szCs w:val="22"/>
        </w:rPr>
      </w:pPr>
      <w:r w:rsidRPr="00845C34">
        <w:rPr>
          <w:rFonts w:cs="Arial"/>
          <w:sz w:val="22"/>
          <w:szCs w:val="22"/>
        </w:rPr>
        <w:t>EN 302 326 supersedes former harmonised standard EN 301 753 as well as former system specific and antenna specific standards for P-MP systems.</w:t>
      </w:r>
    </w:p>
    <w:p w:rsidR="00CF7260" w:rsidRPr="00845C34" w:rsidRDefault="00CF7260" w:rsidP="00CF7260">
      <w:pPr>
        <w:pStyle w:val="ECCParagraph"/>
        <w:rPr>
          <w:rFonts w:cs="Arial"/>
          <w:sz w:val="22"/>
          <w:szCs w:val="22"/>
        </w:rPr>
      </w:pPr>
      <w:r w:rsidRPr="00845C34">
        <w:rPr>
          <w:rFonts w:cs="Arial"/>
          <w:sz w:val="22"/>
          <w:szCs w:val="22"/>
        </w:rPr>
        <w:t>By exception P-MP equipments operating in the frequency range 40.5-43.5 GHz are subject to a specific harmonised standard: EN 301 997, as explained in the following Table.</w:t>
      </w:r>
    </w:p>
    <w:p w:rsidR="00CF7260" w:rsidRPr="00845C34" w:rsidRDefault="00CF7260" w:rsidP="00845C34">
      <w:pPr>
        <w:pStyle w:val="ECCTabletitle"/>
      </w:pPr>
      <w:r w:rsidRPr="00845C34">
        <w:t>EN 301 997 description</w:t>
      </w: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1668"/>
        <w:gridCol w:w="5953"/>
        <w:gridCol w:w="1701"/>
      </w:tblGrid>
      <w:tr w:rsidR="004141B9" w:rsidRPr="00845C34" w:rsidTr="00560FA6">
        <w:tc>
          <w:tcPr>
            <w:tcW w:w="1668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Part</w:t>
            </w:r>
          </w:p>
        </w:tc>
        <w:tc>
          <w:tcPr>
            <w:tcW w:w="5953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Subject</w:t>
            </w:r>
          </w:p>
        </w:tc>
        <w:tc>
          <w:tcPr>
            <w:tcW w:w="1701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Status</w:t>
            </w:r>
          </w:p>
        </w:tc>
      </w:tr>
      <w:tr w:rsidR="004141B9" w:rsidRPr="00845C34" w:rsidTr="00560FA6">
        <w:tc>
          <w:tcPr>
            <w:tcW w:w="1668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EN 301 997-1</w:t>
            </w:r>
          </w:p>
        </w:tc>
        <w:tc>
          <w:tcPr>
            <w:tcW w:w="5953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Multipoint equipment; Radio Equipment for use in Multimedia Wireless Systems (MWS) in the frequency band 40.5 to 43.5 GHz; Part 1: General requirements</w:t>
            </w:r>
          </w:p>
        </w:tc>
        <w:tc>
          <w:tcPr>
            <w:tcW w:w="1701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Not harmonised</w:t>
            </w:r>
          </w:p>
        </w:tc>
      </w:tr>
      <w:tr w:rsidR="004141B9" w:rsidRPr="00845C34" w:rsidTr="00560FA6">
        <w:tc>
          <w:tcPr>
            <w:tcW w:w="1668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EN 301 997-2</w:t>
            </w:r>
          </w:p>
        </w:tc>
        <w:tc>
          <w:tcPr>
            <w:tcW w:w="5953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Multipoint equipment; Radio Equipment for use in Multimedia Wireless Systems (MWS) in the frequency band 40.5 to 43.5 GHz; Part 2: Harmonized EN covering essential requirements under article 3.2 of the R&amp;TTE Directive</w:t>
            </w:r>
          </w:p>
        </w:tc>
        <w:tc>
          <w:tcPr>
            <w:tcW w:w="1701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  <w:sz w:val="22"/>
                <w:szCs w:val="22"/>
              </w:rPr>
            </w:pPr>
            <w:r w:rsidRPr="00845C34">
              <w:rPr>
                <w:rFonts w:ascii="Arial" w:hAnsi="Arial" w:cs="Arial"/>
                <w:sz w:val="22"/>
                <w:szCs w:val="22"/>
              </w:rPr>
              <w:t>Harmonised</w:t>
            </w:r>
          </w:p>
        </w:tc>
      </w:tr>
    </w:tbl>
    <w:p w:rsidR="004141B9" w:rsidRPr="00845C34" w:rsidRDefault="004141B9" w:rsidP="004141B9">
      <w:pPr>
        <w:pStyle w:val="ECCParagraph"/>
        <w:rPr>
          <w:rFonts w:cs="Arial"/>
        </w:rPr>
      </w:pPr>
    </w:p>
    <w:p w:rsidR="00CF7260" w:rsidRPr="00845C34" w:rsidRDefault="00CF7260" w:rsidP="00CF7260">
      <w:pPr>
        <w:pStyle w:val="ECCTablenote"/>
        <w:rPr>
          <w:rFonts w:cs="Arial"/>
          <w:sz w:val="22"/>
          <w:szCs w:val="22"/>
        </w:rPr>
      </w:pPr>
      <w:r w:rsidRPr="00845C34">
        <w:rPr>
          <w:rFonts w:cs="Arial"/>
          <w:sz w:val="22"/>
          <w:szCs w:val="22"/>
        </w:rPr>
        <w:t>Note: this EN refers to EN 301 125-1 and EN 301 125-3 for directional parameters</w:t>
      </w:r>
    </w:p>
    <w:p w:rsidR="00CF7260" w:rsidRPr="00845C34" w:rsidRDefault="00CF7260" w:rsidP="00CF7260">
      <w:pPr>
        <w:pStyle w:val="ECCParagraph"/>
        <w:rPr>
          <w:rFonts w:cs="Arial"/>
          <w:sz w:val="22"/>
          <w:szCs w:val="22"/>
        </w:rPr>
      </w:pPr>
      <w:r w:rsidRPr="00845C34">
        <w:rPr>
          <w:rFonts w:cs="Arial"/>
          <w:sz w:val="22"/>
          <w:szCs w:val="22"/>
        </w:rPr>
        <w:t>As a consequence specific parts of antenna specific standard EN 301 215 remain valid for the frequency band 40.5-43.5 GHz as listed in the table below.</w:t>
      </w:r>
    </w:p>
    <w:p w:rsidR="00CF7260" w:rsidRPr="00845C34" w:rsidRDefault="00CF7260" w:rsidP="00845C34">
      <w:pPr>
        <w:pStyle w:val="ECCTabletitle"/>
      </w:pPr>
      <w:r w:rsidRPr="00845C34">
        <w:t xml:space="preserve">EN 301 215 </w:t>
      </w:r>
      <w:proofErr w:type="gramStart"/>
      <w:r w:rsidRPr="00845C34">
        <w:t>description</w:t>
      </w:r>
      <w:proofErr w:type="gramEnd"/>
      <w:r w:rsidR="004141B9" w:rsidRPr="00845C34">
        <w:t>:</w:t>
      </w: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1668"/>
        <w:gridCol w:w="7654"/>
      </w:tblGrid>
      <w:tr w:rsidR="004141B9" w:rsidRPr="00845C34" w:rsidTr="00560FA6">
        <w:tc>
          <w:tcPr>
            <w:tcW w:w="1668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Part</w:t>
            </w:r>
          </w:p>
        </w:tc>
        <w:tc>
          <w:tcPr>
            <w:tcW w:w="7654" w:type="dxa"/>
          </w:tcPr>
          <w:p w:rsidR="004141B9" w:rsidRPr="00845C34" w:rsidRDefault="004141B9" w:rsidP="00560FA6">
            <w:pPr>
              <w:pStyle w:val="Nincstrkz"/>
              <w:rPr>
                <w:rFonts w:ascii="Arial" w:hAnsi="Arial" w:cs="Arial"/>
              </w:rPr>
            </w:pPr>
            <w:r w:rsidRPr="00845C34">
              <w:rPr>
                <w:rFonts w:ascii="Arial" w:hAnsi="Arial" w:cs="Arial"/>
              </w:rPr>
              <w:t>Subject</w:t>
            </w:r>
          </w:p>
        </w:tc>
      </w:tr>
      <w:tr w:rsidR="004141B9" w:rsidRPr="00845C34" w:rsidTr="004141B9">
        <w:tc>
          <w:tcPr>
            <w:tcW w:w="1668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301 215-1</w:t>
            </w:r>
          </w:p>
        </w:tc>
        <w:tc>
          <w:tcPr>
            <w:tcW w:w="7654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Fixed Radio Systems; Point to Multipoint Antennas; Antennas for P-MP fixed radio systems in the 11 GHz to 60 GHz band; Part 1: General aspects</w:t>
            </w:r>
          </w:p>
        </w:tc>
      </w:tr>
      <w:tr w:rsidR="004141B9" w:rsidRPr="00845C34" w:rsidTr="004141B9">
        <w:tc>
          <w:tcPr>
            <w:tcW w:w="1668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EN 301 215-3</w:t>
            </w:r>
          </w:p>
        </w:tc>
        <w:tc>
          <w:tcPr>
            <w:tcW w:w="7654" w:type="dxa"/>
          </w:tcPr>
          <w:p w:rsidR="004141B9" w:rsidRPr="00845C34" w:rsidRDefault="004141B9" w:rsidP="004141B9">
            <w:pPr>
              <w:pStyle w:val="Nincstrkz"/>
              <w:rPr>
                <w:rFonts w:ascii="Arial" w:hAnsi="Arial" w:cs="Arial"/>
                <w:sz w:val="20"/>
              </w:rPr>
            </w:pPr>
            <w:r w:rsidRPr="00845C34">
              <w:rPr>
                <w:rFonts w:ascii="Arial" w:hAnsi="Arial" w:cs="Arial"/>
                <w:sz w:val="20"/>
              </w:rPr>
              <w:t>Fixed Radio Systems; Point to Multipoint Antennas; Antennas for P-MP fixed radio systems in the 11 GHz to 60 GHz band; Part 3: Multipoint Multimedia Wireless System in 40.5 GHz to 43.5 GHz</w:t>
            </w:r>
          </w:p>
        </w:tc>
      </w:tr>
    </w:tbl>
    <w:p w:rsidR="004141B9" w:rsidRPr="00845C34" w:rsidRDefault="004141B9" w:rsidP="004141B9">
      <w:pPr>
        <w:pStyle w:val="ECCParagraph"/>
        <w:rPr>
          <w:rFonts w:cs="Arial"/>
        </w:rPr>
      </w:pPr>
    </w:p>
    <w:p w:rsidR="00CF7260" w:rsidRPr="00845C34" w:rsidRDefault="00D50DBA" w:rsidP="00CF7260">
      <w:pPr>
        <w:pStyle w:val="ECCAnnexheading3"/>
        <w:numPr>
          <w:ilvl w:val="0"/>
          <w:numId w:val="0"/>
        </w:numPr>
        <w:ind w:left="720" w:hanging="720"/>
        <w:rPr>
          <w:rFonts w:cs="Arial"/>
          <w:lang w:val="en-GB"/>
        </w:rPr>
      </w:pPr>
      <w:r w:rsidRPr="00845C34">
        <w:rPr>
          <w:rFonts w:cs="Arial"/>
          <w:lang w:val="en-GB"/>
        </w:rPr>
        <w:t xml:space="preserve">3.3. </w:t>
      </w:r>
      <w:r w:rsidR="00CF7260" w:rsidRPr="00845C34">
        <w:rPr>
          <w:rFonts w:cs="Arial"/>
          <w:lang w:val="en-GB"/>
        </w:rPr>
        <w:t>System specific standards</w:t>
      </w:r>
    </w:p>
    <w:p w:rsidR="00CF7260" w:rsidRPr="00845C34" w:rsidRDefault="00CF7260" w:rsidP="00CF7260">
      <w:pPr>
        <w:pStyle w:val="ECCParagraph"/>
        <w:rPr>
          <w:rFonts w:cs="Arial"/>
        </w:rPr>
      </w:pPr>
      <w:r w:rsidRPr="00845C34">
        <w:rPr>
          <w:rFonts w:cs="Arial"/>
        </w:rPr>
        <w:t xml:space="preserve">In addition to the technology neutral Harmonised Standards for Fixed P-MP systems ETSI has also developed Technical Specifications dedicated to the specific Fixed P-MP technologies HIPERACESS and </w:t>
      </w:r>
      <w:proofErr w:type="spellStart"/>
      <w:r w:rsidRPr="00845C34">
        <w:rPr>
          <w:rFonts w:cs="Arial"/>
        </w:rPr>
        <w:t>HiperMAN</w:t>
      </w:r>
      <w:proofErr w:type="spellEnd"/>
      <w:r w:rsidRPr="00845C34">
        <w:rPr>
          <w:rFonts w:cs="Arial"/>
        </w:rPr>
        <w:t>.</w:t>
      </w:r>
    </w:p>
    <w:p w:rsidR="00CF7260" w:rsidRPr="00845C34" w:rsidRDefault="00CF7260" w:rsidP="00CF7260">
      <w:pPr>
        <w:pStyle w:val="ECCParagraph"/>
        <w:rPr>
          <w:rFonts w:cs="Arial"/>
        </w:rPr>
      </w:pPr>
      <w:r w:rsidRPr="00845C34">
        <w:rPr>
          <w:rFonts w:cs="Arial"/>
        </w:rPr>
        <w:t xml:space="preserve">HIPERACCESS system is designed to operate typically in frequency bands designated for P-MP use typically between 11 and 42 GHz. </w:t>
      </w:r>
    </w:p>
    <w:p w:rsidR="00E5596A" w:rsidRPr="00845C34" w:rsidRDefault="00CF7260" w:rsidP="00CF7260">
      <w:pPr>
        <w:pStyle w:val="ECCParagraph"/>
        <w:rPr>
          <w:rFonts w:cs="Arial"/>
        </w:rPr>
      </w:pPr>
      <w:proofErr w:type="spellStart"/>
      <w:proofErr w:type="gramStart"/>
      <w:r w:rsidRPr="00845C34">
        <w:rPr>
          <w:rFonts w:cs="Arial"/>
        </w:rPr>
        <w:t>HiperMAN</w:t>
      </w:r>
      <w:proofErr w:type="spellEnd"/>
      <w:r w:rsidRPr="00845C34">
        <w:rPr>
          <w:rFonts w:cs="Arial"/>
        </w:rPr>
        <w:t xml:space="preserve">  system</w:t>
      </w:r>
      <w:proofErr w:type="gramEnd"/>
      <w:r w:rsidRPr="00845C34">
        <w:rPr>
          <w:rFonts w:cs="Arial"/>
        </w:rPr>
        <w:t xml:space="preserve"> is designed to operate in frequency bands designated for P-MP use below 11 GHz. </w:t>
      </w:r>
    </w:p>
    <w:p w:rsidR="004771AB" w:rsidRPr="00845C34" w:rsidRDefault="004771AB" w:rsidP="00845C34">
      <w:pPr>
        <w:pStyle w:val="ECCParagraph"/>
        <w:rPr>
          <w:rFonts w:cs="Arial"/>
        </w:rPr>
      </w:pPr>
    </w:p>
    <w:sectPr w:rsidR="004771AB" w:rsidRPr="00845C34" w:rsidSect="00E559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4B3" w:rsidRDefault="00B504B3" w:rsidP="000F214C">
      <w:r>
        <w:separator/>
      </w:r>
    </w:p>
  </w:endnote>
  <w:endnote w:type="continuationSeparator" w:id="0">
    <w:p w:rsidR="00B504B3" w:rsidRDefault="00B504B3" w:rsidP="000F2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4E9" w:rsidRDefault="000F64E9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42976"/>
      <w:docPartObj>
        <w:docPartGallery w:val="Page Numbers (Bottom of Page)"/>
        <w:docPartUnique/>
      </w:docPartObj>
    </w:sdtPr>
    <w:sdtEndPr/>
    <w:sdtContent>
      <w:p w:rsidR="000F64E9" w:rsidRDefault="004519FC">
        <w:pPr>
          <w:pStyle w:val="llb"/>
          <w:jc w:val="center"/>
        </w:pPr>
        <w:r>
          <w:fldChar w:fldCharType="begin"/>
        </w:r>
        <w:r w:rsidR="000F64E9">
          <w:instrText xml:space="preserve"> PAGE   \* MERGEFORMAT </w:instrText>
        </w:r>
        <w:r>
          <w:fldChar w:fldCharType="separate"/>
        </w:r>
        <w:r w:rsidR="000C0698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0F64E9" w:rsidRDefault="000F64E9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4E9" w:rsidRDefault="000F64E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4B3" w:rsidRDefault="00B504B3" w:rsidP="000F214C">
      <w:r>
        <w:separator/>
      </w:r>
    </w:p>
  </w:footnote>
  <w:footnote w:type="continuationSeparator" w:id="0">
    <w:p w:rsidR="00B504B3" w:rsidRDefault="00B504B3" w:rsidP="000F21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4E9" w:rsidRDefault="000F64E9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4E9" w:rsidRDefault="000F64E9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4E9" w:rsidRDefault="000F64E9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188"/>
    <w:multiLevelType w:val="multilevel"/>
    <w:tmpl w:val="C162476C"/>
    <w:lvl w:ilvl="0">
      <w:start w:val="1"/>
      <w:numFmt w:val="decimal"/>
      <w:pStyle w:val="ECCAnnex-heading1"/>
      <w:suff w:val="space"/>
      <w:lvlText w:val="ANNEX %1:"/>
      <w:lvlJc w:val="left"/>
      <w:pPr>
        <w:ind w:left="284" w:firstLine="0"/>
      </w:pPr>
      <w:rPr>
        <w:rFonts w:ascii="Arial" w:hAnsi="Arial" w:hint="default"/>
        <w:b/>
        <w:bCs w:val="0"/>
        <w:i w:val="0"/>
        <w:iCs w:val="0"/>
        <w:smallCaps w:val="0"/>
        <w:strike w:val="0"/>
        <w:dstrike w:val="0"/>
        <w:vanish w:val="0"/>
        <w:color w:val="D2232A"/>
        <w:spacing w:val="0"/>
        <w:position w:val="0"/>
        <w:sz w:val="20"/>
        <w:u w:val="none"/>
        <w:vertAlign w:val="baseline"/>
        <w:em w:val="none"/>
      </w:rPr>
    </w:lvl>
    <w:lvl w:ilvl="1">
      <w:start w:val="1"/>
      <w:numFmt w:val="decimal"/>
      <w:pStyle w:val="ECCAnnexheading2"/>
      <w:suff w:val="space"/>
      <w:lvlText w:val="A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ECCAnnexheading3"/>
      <w:lvlText w:val="A.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ECCAnnexheading4"/>
      <w:lvlText w:val="A.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>
    <w:nsid w:val="2BC4472A"/>
    <w:multiLevelType w:val="multilevel"/>
    <w:tmpl w:val="9124809C"/>
    <w:lvl w:ilvl="0"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</w:rPr>
    </w:lvl>
    <w:lvl w:ilvl="2">
      <w:start w:val="1"/>
      <w:numFmt w:val="decimal"/>
      <w:pStyle w:val="StyleHeading3Heading3-JR10pt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  <w:b/>
        <w:i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>
    <w:nsid w:val="52E55E97"/>
    <w:multiLevelType w:val="multilevel"/>
    <w:tmpl w:val="AB2C2D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A49646A"/>
    <w:multiLevelType w:val="hybridMultilevel"/>
    <w:tmpl w:val="35A8DF4C"/>
    <w:lvl w:ilvl="0" w:tplc="16A2A480">
      <w:start w:val="4"/>
      <w:numFmt w:val="decimal"/>
      <w:lvlText w:val="%1"/>
      <w:lvlJc w:val="left"/>
      <w:pPr>
        <w:ind w:left="1065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785" w:hanging="360"/>
      </w:pPr>
    </w:lvl>
    <w:lvl w:ilvl="2" w:tplc="0C07001B" w:tentative="1">
      <w:start w:val="1"/>
      <w:numFmt w:val="lowerRoman"/>
      <w:lvlText w:val="%3."/>
      <w:lvlJc w:val="right"/>
      <w:pPr>
        <w:ind w:left="2505" w:hanging="180"/>
      </w:pPr>
    </w:lvl>
    <w:lvl w:ilvl="3" w:tplc="0C07000F" w:tentative="1">
      <w:start w:val="1"/>
      <w:numFmt w:val="decimal"/>
      <w:lvlText w:val="%4."/>
      <w:lvlJc w:val="left"/>
      <w:pPr>
        <w:ind w:left="3225" w:hanging="360"/>
      </w:pPr>
    </w:lvl>
    <w:lvl w:ilvl="4" w:tplc="0C070019" w:tentative="1">
      <w:start w:val="1"/>
      <w:numFmt w:val="lowerLetter"/>
      <w:lvlText w:val="%5."/>
      <w:lvlJc w:val="left"/>
      <w:pPr>
        <w:ind w:left="3945" w:hanging="360"/>
      </w:pPr>
    </w:lvl>
    <w:lvl w:ilvl="5" w:tplc="0C07001B" w:tentative="1">
      <w:start w:val="1"/>
      <w:numFmt w:val="lowerRoman"/>
      <w:lvlText w:val="%6."/>
      <w:lvlJc w:val="right"/>
      <w:pPr>
        <w:ind w:left="4665" w:hanging="180"/>
      </w:pPr>
    </w:lvl>
    <w:lvl w:ilvl="6" w:tplc="0C07000F" w:tentative="1">
      <w:start w:val="1"/>
      <w:numFmt w:val="decimal"/>
      <w:lvlText w:val="%7."/>
      <w:lvlJc w:val="left"/>
      <w:pPr>
        <w:ind w:left="5385" w:hanging="360"/>
      </w:pPr>
    </w:lvl>
    <w:lvl w:ilvl="7" w:tplc="0C070019" w:tentative="1">
      <w:start w:val="1"/>
      <w:numFmt w:val="lowerLetter"/>
      <w:lvlText w:val="%8."/>
      <w:lvlJc w:val="left"/>
      <w:pPr>
        <w:ind w:left="6105" w:hanging="360"/>
      </w:pPr>
    </w:lvl>
    <w:lvl w:ilvl="8" w:tplc="0C07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C8B1574"/>
    <w:multiLevelType w:val="hybridMultilevel"/>
    <w:tmpl w:val="EAAC6F82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E15F1E"/>
    <w:multiLevelType w:val="hybridMultilevel"/>
    <w:tmpl w:val="0F9C1EFC"/>
    <w:lvl w:ilvl="0" w:tplc="0A66306A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648" w:hanging="360"/>
      </w:pPr>
    </w:lvl>
    <w:lvl w:ilvl="2" w:tplc="040E001B" w:tentative="1">
      <w:start w:val="1"/>
      <w:numFmt w:val="lowerRoman"/>
      <w:lvlText w:val="%3."/>
      <w:lvlJc w:val="right"/>
      <w:pPr>
        <w:ind w:left="2368" w:hanging="180"/>
      </w:pPr>
    </w:lvl>
    <w:lvl w:ilvl="3" w:tplc="040E000F" w:tentative="1">
      <w:start w:val="1"/>
      <w:numFmt w:val="decimal"/>
      <w:lvlText w:val="%4."/>
      <w:lvlJc w:val="left"/>
      <w:pPr>
        <w:ind w:left="3088" w:hanging="360"/>
      </w:pPr>
    </w:lvl>
    <w:lvl w:ilvl="4" w:tplc="040E0019" w:tentative="1">
      <w:start w:val="1"/>
      <w:numFmt w:val="lowerLetter"/>
      <w:lvlText w:val="%5."/>
      <w:lvlJc w:val="left"/>
      <w:pPr>
        <w:ind w:left="3808" w:hanging="360"/>
      </w:pPr>
    </w:lvl>
    <w:lvl w:ilvl="5" w:tplc="040E001B" w:tentative="1">
      <w:start w:val="1"/>
      <w:numFmt w:val="lowerRoman"/>
      <w:lvlText w:val="%6."/>
      <w:lvlJc w:val="right"/>
      <w:pPr>
        <w:ind w:left="4528" w:hanging="180"/>
      </w:pPr>
    </w:lvl>
    <w:lvl w:ilvl="6" w:tplc="040E000F" w:tentative="1">
      <w:start w:val="1"/>
      <w:numFmt w:val="decimal"/>
      <w:lvlText w:val="%7."/>
      <w:lvlJc w:val="left"/>
      <w:pPr>
        <w:ind w:left="5248" w:hanging="360"/>
      </w:pPr>
    </w:lvl>
    <w:lvl w:ilvl="7" w:tplc="040E0019" w:tentative="1">
      <w:start w:val="1"/>
      <w:numFmt w:val="lowerLetter"/>
      <w:lvlText w:val="%8."/>
      <w:lvlJc w:val="left"/>
      <w:pPr>
        <w:ind w:left="5968" w:hanging="360"/>
      </w:pPr>
    </w:lvl>
    <w:lvl w:ilvl="8" w:tplc="040E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757A1223"/>
    <w:multiLevelType w:val="hybridMultilevel"/>
    <w:tmpl w:val="CE308F06"/>
    <w:lvl w:ilvl="0" w:tplc="0427000F">
      <w:start w:val="1"/>
      <w:numFmt w:val="decimal"/>
      <w:pStyle w:val="StyleHeading210pt1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B33EBD"/>
    <w:multiLevelType w:val="hybridMultilevel"/>
    <w:tmpl w:val="870A346E"/>
    <w:lvl w:ilvl="0" w:tplc="48542A7E">
      <w:numFmt w:val="bullet"/>
      <w:pStyle w:val="StyleHeading110p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3212E4"/>
    <w:multiLevelType w:val="multilevel"/>
    <w:tmpl w:val="FEFA80F4"/>
    <w:lvl w:ilvl="0">
      <w:start w:val="1"/>
      <w:numFmt w:val="decimal"/>
      <w:suff w:val="space"/>
      <w:lvlText w:val="Table %1:"/>
      <w:lvlJc w:val="left"/>
      <w:pPr>
        <w:ind w:left="360" w:hanging="360"/>
      </w:pPr>
      <w:rPr>
        <w:rFonts w:ascii="Arial" w:hAnsi="Arial" w:hint="default"/>
        <w:b/>
        <w:i w:val="0"/>
        <w:color w:val="D2232A"/>
        <w:sz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6"/>
  </w:num>
  <w:num w:numId="5">
    <w:abstractNumId w:val="4"/>
  </w:num>
  <w:num w:numId="6">
    <w:abstractNumId w:val="8"/>
  </w:num>
  <w:num w:numId="7">
    <w:abstractNumId w:val="0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206"/>
    <w:rsid w:val="00013E25"/>
    <w:rsid w:val="00052AAF"/>
    <w:rsid w:val="00075206"/>
    <w:rsid w:val="00077102"/>
    <w:rsid w:val="000860FC"/>
    <w:rsid w:val="000A37BD"/>
    <w:rsid w:val="000C0698"/>
    <w:rsid w:val="000C1CC0"/>
    <w:rsid w:val="000D0B5E"/>
    <w:rsid w:val="000F214C"/>
    <w:rsid w:val="000F64E9"/>
    <w:rsid w:val="00115851"/>
    <w:rsid w:val="0017085A"/>
    <w:rsid w:val="00185D03"/>
    <w:rsid w:val="001D6AD9"/>
    <w:rsid w:val="00233D56"/>
    <w:rsid w:val="00236405"/>
    <w:rsid w:val="002456B6"/>
    <w:rsid w:val="002526CE"/>
    <w:rsid w:val="00262137"/>
    <w:rsid w:val="00284864"/>
    <w:rsid w:val="00286D80"/>
    <w:rsid w:val="002D2F3C"/>
    <w:rsid w:val="002E5213"/>
    <w:rsid w:val="002F0CA0"/>
    <w:rsid w:val="00304FF8"/>
    <w:rsid w:val="00375AF7"/>
    <w:rsid w:val="003C1635"/>
    <w:rsid w:val="004141B9"/>
    <w:rsid w:val="0044727C"/>
    <w:rsid w:val="004519FC"/>
    <w:rsid w:val="0046321B"/>
    <w:rsid w:val="004771AB"/>
    <w:rsid w:val="004B44F4"/>
    <w:rsid w:val="004C325B"/>
    <w:rsid w:val="004D268B"/>
    <w:rsid w:val="004F66DA"/>
    <w:rsid w:val="005315F2"/>
    <w:rsid w:val="00560FA6"/>
    <w:rsid w:val="0056168A"/>
    <w:rsid w:val="005B6444"/>
    <w:rsid w:val="00626FCC"/>
    <w:rsid w:val="00653075"/>
    <w:rsid w:val="00661778"/>
    <w:rsid w:val="006C5418"/>
    <w:rsid w:val="0070366A"/>
    <w:rsid w:val="00776CDA"/>
    <w:rsid w:val="007B1017"/>
    <w:rsid w:val="007C2305"/>
    <w:rsid w:val="007E4A2C"/>
    <w:rsid w:val="007E71D8"/>
    <w:rsid w:val="00845C34"/>
    <w:rsid w:val="008870D2"/>
    <w:rsid w:val="008C3194"/>
    <w:rsid w:val="0095063C"/>
    <w:rsid w:val="00977BE1"/>
    <w:rsid w:val="00987187"/>
    <w:rsid w:val="009A4333"/>
    <w:rsid w:val="009A7196"/>
    <w:rsid w:val="009C4C52"/>
    <w:rsid w:val="00A37908"/>
    <w:rsid w:val="00A63FD1"/>
    <w:rsid w:val="00A6739B"/>
    <w:rsid w:val="00A73702"/>
    <w:rsid w:val="00AB2653"/>
    <w:rsid w:val="00AC182D"/>
    <w:rsid w:val="00AF203F"/>
    <w:rsid w:val="00B13C62"/>
    <w:rsid w:val="00B3347D"/>
    <w:rsid w:val="00B504B3"/>
    <w:rsid w:val="00B53E4F"/>
    <w:rsid w:val="00B75EEE"/>
    <w:rsid w:val="00BE09CD"/>
    <w:rsid w:val="00BE0C11"/>
    <w:rsid w:val="00BF4720"/>
    <w:rsid w:val="00C27DA5"/>
    <w:rsid w:val="00C473DD"/>
    <w:rsid w:val="00C6360C"/>
    <w:rsid w:val="00CA10EF"/>
    <w:rsid w:val="00CB42AA"/>
    <w:rsid w:val="00CF65AB"/>
    <w:rsid w:val="00CF7260"/>
    <w:rsid w:val="00D50DBA"/>
    <w:rsid w:val="00D5293B"/>
    <w:rsid w:val="00D6094B"/>
    <w:rsid w:val="00D618E5"/>
    <w:rsid w:val="00D7439E"/>
    <w:rsid w:val="00D777A0"/>
    <w:rsid w:val="00DA5A87"/>
    <w:rsid w:val="00DB25D6"/>
    <w:rsid w:val="00DB64C4"/>
    <w:rsid w:val="00E104BB"/>
    <w:rsid w:val="00E41BC4"/>
    <w:rsid w:val="00E4241F"/>
    <w:rsid w:val="00E5596A"/>
    <w:rsid w:val="00E56B7B"/>
    <w:rsid w:val="00EB0D74"/>
    <w:rsid w:val="00ED3D93"/>
    <w:rsid w:val="00ED6E15"/>
    <w:rsid w:val="00EF5351"/>
    <w:rsid w:val="00F02F5E"/>
    <w:rsid w:val="00F13961"/>
    <w:rsid w:val="00F6531B"/>
    <w:rsid w:val="00F8584C"/>
    <w:rsid w:val="00F95366"/>
    <w:rsid w:val="00FB4A6C"/>
    <w:rsid w:val="00FD0D03"/>
    <w:rsid w:val="00FE324D"/>
    <w:rsid w:val="00FF4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104B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styleId="Cmsor1">
    <w:name w:val="heading 1"/>
    <w:basedOn w:val="Norml"/>
    <w:next w:val="Norml"/>
    <w:link w:val="Cmsor1Char"/>
    <w:uiPriority w:val="9"/>
    <w:qFormat/>
    <w:rsid w:val="00AB26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qFormat/>
    <w:rsid w:val="006C5418"/>
    <w:pPr>
      <w:keepNext/>
      <w:outlineLvl w:val="1"/>
    </w:pPr>
    <w:rPr>
      <w:rFonts w:ascii="Arial" w:hAnsi="Arial"/>
      <w:b/>
      <w:sz w:val="22"/>
      <w:szCs w:val="24"/>
      <w:lang w:eastAsia="fr-FR"/>
    </w:rPr>
  </w:style>
  <w:style w:type="paragraph" w:styleId="Cmsor3">
    <w:name w:val="heading 3"/>
    <w:basedOn w:val="Norml"/>
    <w:next w:val="Norml"/>
    <w:link w:val="Cmsor3Char"/>
    <w:qFormat/>
    <w:rsid w:val="006C5418"/>
    <w:pPr>
      <w:keepNext/>
      <w:outlineLvl w:val="2"/>
    </w:pPr>
    <w:rPr>
      <w:rFonts w:ascii="Arial" w:hAnsi="Arial" w:cs="Arial"/>
      <w:b/>
      <w:bCs/>
      <w:szCs w:val="24"/>
      <w:lang w:val="fr-FR" w:eastAsia="fr-FR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73702"/>
    <w:pPr>
      <w:ind w:left="720"/>
      <w:contextualSpacing/>
    </w:pPr>
  </w:style>
  <w:style w:type="character" w:customStyle="1" w:styleId="Cmsor2Char">
    <w:name w:val="Címsor 2 Char"/>
    <w:basedOn w:val="Bekezdsalapbettpusa"/>
    <w:link w:val="Cmsor2"/>
    <w:rsid w:val="006C5418"/>
    <w:rPr>
      <w:rFonts w:ascii="Arial" w:eastAsia="Times New Roman" w:hAnsi="Arial" w:cs="Times New Roman"/>
      <w:b/>
      <w:szCs w:val="24"/>
      <w:lang w:val="en-GB" w:eastAsia="fr-FR"/>
    </w:rPr>
  </w:style>
  <w:style w:type="character" w:customStyle="1" w:styleId="Cmsor3Char">
    <w:name w:val="Címsor 3 Char"/>
    <w:basedOn w:val="Bekezdsalapbettpusa"/>
    <w:link w:val="Cmsor3"/>
    <w:rsid w:val="006C5418"/>
    <w:rPr>
      <w:rFonts w:ascii="Arial" w:eastAsia="Times New Roman" w:hAnsi="Arial" w:cs="Arial"/>
      <w:b/>
      <w:bCs/>
      <w:sz w:val="24"/>
      <w:szCs w:val="24"/>
      <w:lang w:val="fr-FR" w:eastAsia="fr-FR"/>
    </w:rPr>
  </w:style>
  <w:style w:type="paragraph" w:customStyle="1" w:styleId="Equation">
    <w:name w:val="Equation"/>
    <w:basedOn w:val="Norml"/>
    <w:rsid w:val="006C5418"/>
    <w:pPr>
      <w:widowControl w:val="0"/>
      <w:tabs>
        <w:tab w:val="left" w:pos="794"/>
        <w:tab w:val="center" w:pos="4849"/>
        <w:tab w:val="right" w:pos="9696"/>
      </w:tabs>
      <w:spacing w:before="140" w:after="40"/>
    </w:pPr>
    <w:rPr>
      <w:sz w:val="22"/>
      <w:lang w:eastAsia="de-DE"/>
    </w:rPr>
  </w:style>
  <w:style w:type="paragraph" w:styleId="Szvegtrzs">
    <w:name w:val="Body Text"/>
    <w:basedOn w:val="Norml"/>
    <w:link w:val="SzvegtrzsChar"/>
    <w:rsid w:val="006C5418"/>
    <w:pPr>
      <w:spacing w:after="120"/>
    </w:pPr>
    <w:rPr>
      <w:sz w:val="20"/>
      <w:lang w:val="de-DE" w:eastAsia="de-DE"/>
    </w:rPr>
  </w:style>
  <w:style w:type="character" w:customStyle="1" w:styleId="SzvegtrzsChar">
    <w:name w:val="Szövegtörzs Char"/>
    <w:basedOn w:val="Bekezdsalapbettpusa"/>
    <w:link w:val="Szvegtrzs"/>
    <w:rsid w:val="006C5418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Szvegtrzsbehzssal3">
    <w:name w:val="Body Text Indent 3"/>
    <w:basedOn w:val="Norml"/>
    <w:link w:val="Szvegtrzsbehzssal3Char"/>
    <w:rsid w:val="006C5418"/>
    <w:pPr>
      <w:ind w:left="1985" w:hanging="1276"/>
    </w:pPr>
    <w:rPr>
      <w:rFonts w:ascii="Arial" w:hAnsi="Arial"/>
      <w:sz w:val="22"/>
      <w:lang w:eastAsia="de-DE"/>
    </w:rPr>
  </w:style>
  <w:style w:type="character" w:customStyle="1" w:styleId="Szvegtrzsbehzssal3Char">
    <w:name w:val="Szövegtörzs behúzással 3 Char"/>
    <w:basedOn w:val="Bekezdsalapbettpusa"/>
    <w:link w:val="Szvegtrzsbehzssal3"/>
    <w:rsid w:val="006C5418"/>
    <w:rPr>
      <w:rFonts w:ascii="Arial" w:eastAsia="Times New Roman" w:hAnsi="Arial" w:cs="Times New Roman"/>
      <w:szCs w:val="20"/>
      <w:lang w:val="en-GB" w:eastAsia="de-DE"/>
    </w:rPr>
  </w:style>
  <w:style w:type="character" w:styleId="Oldalszm">
    <w:name w:val="page number"/>
    <w:semiHidden/>
    <w:rsid w:val="00052AAF"/>
    <w:rPr>
      <w:rFonts w:ascii="Verdana" w:hAnsi="Verdana"/>
      <w:sz w:val="24"/>
      <w:lang w:val="en-US" w:eastAsia="en-US" w:bidi="ar-SA"/>
    </w:rPr>
  </w:style>
  <w:style w:type="character" w:customStyle="1" w:styleId="StyleHeading110ptChar">
    <w:name w:val="Style Heading 1 + 10 pt Char"/>
    <w:rsid w:val="00052AAF"/>
    <w:rPr>
      <w:rFonts w:ascii="Times New Roman Bold" w:hAnsi="Times New Roman Bold"/>
      <w:b/>
      <w:bCs/>
      <w:caps/>
      <w:kern w:val="32"/>
      <w:sz w:val="28"/>
      <w:szCs w:val="32"/>
      <w:lang w:val="en-GB" w:eastAsia="fr-FR" w:bidi="ar-SA"/>
    </w:rPr>
  </w:style>
  <w:style w:type="paragraph" w:customStyle="1" w:styleId="StyleHeading210pt1">
    <w:name w:val="Style Heading 2 + 10 pt1"/>
    <w:basedOn w:val="Cmsor2"/>
    <w:link w:val="StyleHeading210pt1Char"/>
    <w:autoRedefine/>
    <w:rsid w:val="00052AAF"/>
    <w:pPr>
      <w:numPr>
        <w:numId w:val="4"/>
      </w:numPr>
      <w:spacing w:before="360" w:after="240"/>
    </w:pPr>
    <w:rPr>
      <w:rFonts w:cs="Arial"/>
      <w:b w:val="0"/>
      <w:bCs/>
      <w:iCs/>
      <w:sz w:val="24"/>
      <w:szCs w:val="28"/>
    </w:rPr>
  </w:style>
  <w:style w:type="character" w:customStyle="1" w:styleId="StyleHeading210pt1Char">
    <w:name w:val="Style Heading 2 + 10 pt1 Char"/>
    <w:link w:val="StyleHeading210pt1"/>
    <w:rsid w:val="00052AAF"/>
    <w:rPr>
      <w:rFonts w:ascii="Arial" w:eastAsia="Times New Roman" w:hAnsi="Arial" w:cs="Arial"/>
      <w:bCs/>
      <w:iCs/>
      <w:sz w:val="24"/>
      <w:szCs w:val="28"/>
      <w:lang w:val="en-GB" w:eastAsia="fr-FR"/>
    </w:rPr>
  </w:style>
  <w:style w:type="paragraph" w:customStyle="1" w:styleId="StyleHeading3Heading3-JR10pt">
    <w:name w:val="Style Heading 3Heading 3 - JR + 10 pt"/>
    <w:basedOn w:val="Cmsor3"/>
    <w:autoRedefine/>
    <w:rsid w:val="00052AAF"/>
    <w:pPr>
      <w:numPr>
        <w:ilvl w:val="2"/>
        <w:numId w:val="3"/>
      </w:numPr>
      <w:spacing w:before="240" w:after="120"/>
    </w:pPr>
    <w:rPr>
      <w:rFonts w:ascii="Times New Roman" w:hAnsi="Times New Roman"/>
      <w:sz w:val="20"/>
      <w:szCs w:val="26"/>
      <w:lang w:val="en-GB"/>
    </w:rPr>
  </w:style>
  <w:style w:type="paragraph" w:styleId="Nincstrkz">
    <w:name w:val="No Spacing"/>
    <w:uiPriority w:val="1"/>
    <w:qFormat/>
    <w:rsid w:val="00052AA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customStyle="1" w:styleId="StyleHeading110pt">
    <w:name w:val="Style Heading 1 + 10 pt"/>
    <w:basedOn w:val="Cmsor1"/>
    <w:autoRedefine/>
    <w:rsid w:val="00AB2653"/>
    <w:pPr>
      <w:keepLines w:val="0"/>
      <w:numPr>
        <w:numId w:val="1"/>
      </w:numPr>
      <w:spacing w:after="240"/>
    </w:pPr>
    <w:rPr>
      <w:rFonts w:ascii="Times New Roman Bold" w:eastAsia="Times New Roman" w:hAnsi="Times New Roman Bold" w:cs="Times New Roman"/>
      <w:caps/>
      <w:color w:val="auto"/>
      <w:kern w:val="32"/>
      <w:szCs w:val="32"/>
      <w:lang w:eastAsia="fr-FR"/>
    </w:rPr>
  </w:style>
  <w:style w:type="character" w:customStyle="1" w:styleId="Cmsor1Char">
    <w:name w:val="Címsor 1 Char"/>
    <w:basedOn w:val="Bekezdsalapbettpusa"/>
    <w:link w:val="Cmsor1"/>
    <w:uiPriority w:val="9"/>
    <w:rsid w:val="00AB26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sk-SK"/>
    </w:rPr>
  </w:style>
  <w:style w:type="paragraph" w:customStyle="1" w:styleId="ECCParagraph">
    <w:name w:val="ECC Paragraph"/>
    <w:basedOn w:val="Norml"/>
    <w:rsid w:val="00CF7260"/>
    <w:pPr>
      <w:spacing w:after="240"/>
      <w:jc w:val="both"/>
    </w:pPr>
    <w:rPr>
      <w:rFonts w:ascii="Arial" w:hAnsi="Arial"/>
      <w:sz w:val="20"/>
      <w:szCs w:val="24"/>
      <w:lang w:eastAsia="en-US"/>
    </w:rPr>
  </w:style>
  <w:style w:type="paragraph" w:customStyle="1" w:styleId="ECCAnnex-heading1">
    <w:name w:val="ECC Annex - heading1"/>
    <w:basedOn w:val="Cmsor1"/>
    <w:next w:val="ECCParagraph"/>
    <w:rsid w:val="00CF7260"/>
    <w:pPr>
      <w:keepLines w:val="0"/>
      <w:numPr>
        <w:numId w:val="7"/>
      </w:numPr>
      <w:spacing w:before="600" w:after="240"/>
      <w:ind w:left="0"/>
    </w:pPr>
    <w:rPr>
      <w:rFonts w:ascii="Arial" w:eastAsia="Times New Roman" w:hAnsi="Arial" w:cs="Arial"/>
      <w:b w:val="0"/>
      <w:caps/>
      <w:color w:val="D2232A"/>
      <w:kern w:val="32"/>
      <w:sz w:val="20"/>
      <w:szCs w:val="32"/>
      <w:lang w:eastAsia="en-US"/>
    </w:rPr>
  </w:style>
  <w:style w:type="table" w:styleId="Rcsostblzat">
    <w:name w:val="Table Grid"/>
    <w:basedOn w:val="Normltblzat"/>
    <w:uiPriority w:val="59"/>
    <w:rsid w:val="00CF72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CCTabletitle">
    <w:name w:val="ECC Table title"/>
    <w:basedOn w:val="Norml"/>
    <w:next w:val="ECCParagraph"/>
    <w:autoRedefine/>
    <w:rsid w:val="00845C34"/>
    <w:pPr>
      <w:spacing w:before="360" w:after="240"/>
      <w:ind w:left="360" w:firstLine="348"/>
    </w:pPr>
    <w:rPr>
      <w:rFonts w:ascii="Arial" w:hAnsi="Arial" w:cs="Arial"/>
      <w:color w:val="000000" w:themeColor="text1"/>
      <w:sz w:val="22"/>
      <w:szCs w:val="22"/>
      <w:lang w:eastAsia="en-US"/>
    </w:rPr>
  </w:style>
  <w:style w:type="paragraph" w:customStyle="1" w:styleId="ECCTablenote">
    <w:name w:val="ECC Table note"/>
    <w:basedOn w:val="ECCParagraph"/>
    <w:next w:val="ECCParagraph"/>
    <w:autoRedefine/>
    <w:rsid w:val="00CF7260"/>
  </w:style>
  <w:style w:type="paragraph" w:customStyle="1" w:styleId="ECCAnnexheading2">
    <w:name w:val="ECC Annex heading2"/>
    <w:basedOn w:val="Norml"/>
    <w:next w:val="ECCParagraph"/>
    <w:rsid w:val="00CF7260"/>
    <w:pPr>
      <w:numPr>
        <w:ilvl w:val="1"/>
        <w:numId w:val="7"/>
      </w:numPr>
      <w:overflowPunct w:val="0"/>
      <w:autoSpaceDE w:val="0"/>
      <w:autoSpaceDN w:val="0"/>
      <w:adjustRightInd w:val="0"/>
      <w:spacing w:before="480" w:after="240"/>
      <w:textAlignment w:val="baseline"/>
    </w:pPr>
    <w:rPr>
      <w:rFonts w:ascii="Arial" w:hAnsi="Arial"/>
      <w:b/>
      <w:caps/>
      <w:sz w:val="20"/>
      <w:szCs w:val="24"/>
      <w:lang w:val="en-US" w:eastAsia="en-US"/>
    </w:rPr>
  </w:style>
  <w:style w:type="paragraph" w:customStyle="1" w:styleId="ECCAnnexheading3">
    <w:name w:val="ECC Annex heading3"/>
    <w:basedOn w:val="Norml"/>
    <w:next w:val="ECCParagraph"/>
    <w:rsid w:val="00CF7260"/>
    <w:pPr>
      <w:numPr>
        <w:ilvl w:val="2"/>
        <w:numId w:val="7"/>
      </w:numPr>
      <w:overflowPunct w:val="0"/>
      <w:autoSpaceDE w:val="0"/>
      <w:autoSpaceDN w:val="0"/>
      <w:adjustRightInd w:val="0"/>
      <w:spacing w:before="360" w:after="120"/>
      <w:textAlignment w:val="baseline"/>
    </w:pPr>
    <w:rPr>
      <w:rFonts w:ascii="Arial" w:hAnsi="Arial"/>
      <w:b/>
      <w:sz w:val="20"/>
      <w:szCs w:val="24"/>
      <w:lang w:val="en-US" w:eastAsia="en-US"/>
    </w:rPr>
  </w:style>
  <w:style w:type="paragraph" w:customStyle="1" w:styleId="ECCAnnexheading4">
    <w:name w:val="ECC Annex heading4"/>
    <w:basedOn w:val="Norml"/>
    <w:next w:val="ECCParagraph"/>
    <w:rsid w:val="00CF7260"/>
    <w:pPr>
      <w:numPr>
        <w:ilvl w:val="3"/>
        <w:numId w:val="7"/>
      </w:numPr>
      <w:overflowPunct w:val="0"/>
      <w:autoSpaceDE w:val="0"/>
      <w:autoSpaceDN w:val="0"/>
      <w:adjustRightInd w:val="0"/>
      <w:spacing w:before="360" w:after="120"/>
      <w:textAlignment w:val="baseline"/>
    </w:pPr>
    <w:rPr>
      <w:rFonts w:ascii="Arial" w:hAnsi="Arial"/>
      <w:i/>
      <w:color w:val="D2232A"/>
      <w:sz w:val="20"/>
      <w:szCs w:val="24"/>
      <w:lang w:val="en-US" w:eastAsia="en-US"/>
    </w:rPr>
  </w:style>
  <w:style w:type="character" w:customStyle="1" w:styleId="apple-style-span">
    <w:name w:val="apple-style-span"/>
    <w:basedOn w:val="Bekezdsalapbettpusa"/>
    <w:rsid w:val="00CF7260"/>
  </w:style>
  <w:style w:type="paragraph" w:styleId="lfej">
    <w:name w:val="header"/>
    <w:basedOn w:val="Norml"/>
    <w:link w:val="lfejChar"/>
    <w:uiPriority w:val="99"/>
    <w:semiHidden/>
    <w:unhideWhenUsed/>
    <w:rsid w:val="000F214C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0F214C"/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styleId="llb">
    <w:name w:val="footer"/>
    <w:basedOn w:val="Norml"/>
    <w:link w:val="llbChar"/>
    <w:uiPriority w:val="99"/>
    <w:unhideWhenUsed/>
    <w:rsid w:val="000F214C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0F214C"/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60FA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60FA6"/>
    <w:rPr>
      <w:rFonts w:ascii="Tahoma" w:eastAsia="Times New Roman" w:hAnsi="Tahoma" w:cs="Tahoma"/>
      <w:sz w:val="16"/>
      <w:szCs w:val="16"/>
      <w:lang w:val="en-GB"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104B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styleId="Cmsor1">
    <w:name w:val="heading 1"/>
    <w:basedOn w:val="Norml"/>
    <w:next w:val="Norml"/>
    <w:link w:val="Cmsor1Char"/>
    <w:uiPriority w:val="9"/>
    <w:qFormat/>
    <w:rsid w:val="00AB26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qFormat/>
    <w:rsid w:val="006C5418"/>
    <w:pPr>
      <w:keepNext/>
      <w:outlineLvl w:val="1"/>
    </w:pPr>
    <w:rPr>
      <w:rFonts w:ascii="Arial" w:hAnsi="Arial"/>
      <w:b/>
      <w:sz w:val="22"/>
      <w:szCs w:val="24"/>
      <w:lang w:eastAsia="fr-FR"/>
    </w:rPr>
  </w:style>
  <w:style w:type="paragraph" w:styleId="Cmsor3">
    <w:name w:val="heading 3"/>
    <w:basedOn w:val="Norml"/>
    <w:next w:val="Norml"/>
    <w:link w:val="Cmsor3Char"/>
    <w:qFormat/>
    <w:rsid w:val="006C5418"/>
    <w:pPr>
      <w:keepNext/>
      <w:outlineLvl w:val="2"/>
    </w:pPr>
    <w:rPr>
      <w:rFonts w:ascii="Arial" w:hAnsi="Arial" w:cs="Arial"/>
      <w:b/>
      <w:bCs/>
      <w:szCs w:val="24"/>
      <w:lang w:val="fr-FR" w:eastAsia="fr-FR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73702"/>
    <w:pPr>
      <w:ind w:left="720"/>
      <w:contextualSpacing/>
    </w:pPr>
  </w:style>
  <w:style w:type="character" w:customStyle="1" w:styleId="Cmsor2Char">
    <w:name w:val="Címsor 2 Char"/>
    <w:basedOn w:val="Bekezdsalapbettpusa"/>
    <w:link w:val="Cmsor2"/>
    <w:rsid w:val="006C5418"/>
    <w:rPr>
      <w:rFonts w:ascii="Arial" w:eastAsia="Times New Roman" w:hAnsi="Arial" w:cs="Times New Roman"/>
      <w:b/>
      <w:szCs w:val="24"/>
      <w:lang w:val="en-GB" w:eastAsia="fr-FR"/>
    </w:rPr>
  </w:style>
  <w:style w:type="character" w:customStyle="1" w:styleId="Cmsor3Char">
    <w:name w:val="Címsor 3 Char"/>
    <w:basedOn w:val="Bekezdsalapbettpusa"/>
    <w:link w:val="Cmsor3"/>
    <w:rsid w:val="006C5418"/>
    <w:rPr>
      <w:rFonts w:ascii="Arial" w:eastAsia="Times New Roman" w:hAnsi="Arial" w:cs="Arial"/>
      <w:b/>
      <w:bCs/>
      <w:sz w:val="24"/>
      <w:szCs w:val="24"/>
      <w:lang w:val="fr-FR" w:eastAsia="fr-FR"/>
    </w:rPr>
  </w:style>
  <w:style w:type="paragraph" w:customStyle="1" w:styleId="Equation">
    <w:name w:val="Equation"/>
    <w:basedOn w:val="Norml"/>
    <w:rsid w:val="006C5418"/>
    <w:pPr>
      <w:widowControl w:val="0"/>
      <w:tabs>
        <w:tab w:val="left" w:pos="794"/>
        <w:tab w:val="center" w:pos="4849"/>
        <w:tab w:val="right" w:pos="9696"/>
      </w:tabs>
      <w:spacing w:before="140" w:after="40"/>
    </w:pPr>
    <w:rPr>
      <w:sz w:val="22"/>
      <w:lang w:eastAsia="de-DE"/>
    </w:rPr>
  </w:style>
  <w:style w:type="paragraph" w:styleId="Szvegtrzs">
    <w:name w:val="Body Text"/>
    <w:basedOn w:val="Norml"/>
    <w:link w:val="SzvegtrzsChar"/>
    <w:rsid w:val="006C5418"/>
    <w:pPr>
      <w:spacing w:after="120"/>
    </w:pPr>
    <w:rPr>
      <w:sz w:val="20"/>
      <w:lang w:val="de-DE" w:eastAsia="de-DE"/>
    </w:rPr>
  </w:style>
  <w:style w:type="character" w:customStyle="1" w:styleId="SzvegtrzsChar">
    <w:name w:val="Szövegtörzs Char"/>
    <w:basedOn w:val="Bekezdsalapbettpusa"/>
    <w:link w:val="Szvegtrzs"/>
    <w:rsid w:val="006C5418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Szvegtrzsbehzssal3">
    <w:name w:val="Body Text Indent 3"/>
    <w:basedOn w:val="Norml"/>
    <w:link w:val="Szvegtrzsbehzssal3Char"/>
    <w:rsid w:val="006C5418"/>
    <w:pPr>
      <w:ind w:left="1985" w:hanging="1276"/>
    </w:pPr>
    <w:rPr>
      <w:rFonts w:ascii="Arial" w:hAnsi="Arial"/>
      <w:sz w:val="22"/>
      <w:lang w:eastAsia="de-DE"/>
    </w:rPr>
  </w:style>
  <w:style w:type="character" w:customStyle="1" w:styleId="Szvegtrzsbehzssal3Char">
    <w:name w:val="Szövegtörzs behúzással 3 Char"/>
    <w:basedOn w:val="Bekezdsalapbettpusa"/>
    <w:link w:val="Szvegtrzsbehzssal3"/>
    <w:rsid w:val="006C5418"/>
    <w:rPr>
      <w:rFonts w:ascii="Arial" w:eastAsia="Times New Roman" w:hAnsi="Arial" w:cs="Times New Roman"/>
      <w:szCs w:val="20"/>
      <w:lang w:val="en-GB" w:eastAsia="de-DE"/>
    </w:rPr>
  </w:style>
  <w:style w:type="character" w:styleId="Oldalszm">
    <w:name w:val="page number"/>
    <w:semiHidden/>
    <w:rsid w:val="00052AAF"/>
    <w:rPr>
      <w:rFonts w:ascii="Verdana" w:hAnsi="Verdana"/>
      <w:sz w:val="24"/>
      <w:lang w:val="en-US" w:eastAsia="en-US" w:bidi="ar-SA"/>
    </w:rPr>
  </w:style>
  <w:style w:type="character" w:customStyle="1" w:styleId="StyleHeading110ptChar">
    <w:name w:val="Style Heading 1 + 10 pt Char"/>
    <w:rsid w:val="00052AAF"/>
    <w:rPr>
      <w:rFonts w:ascii="Times New Roman Bold" w:hAnsi="Times New Roman Bold"/>
      <w:b/>
      <w:bCs/>
      <w:caps/>
      <w:kern w:val="32"/>
      <w:sz w:val="28"/>
      <w:szCs w:val="32"/>
      <w:lang w:val="en-GB" w:eastAsia="fr-FR" w:bidi="ar-SA"/>
    </w:rPr>
  </w:style>
  <w:style w:type="paragraph" w:customStyle="1" w:styleId="StyleHeading210pt1">
    <w:name w:val="Style Heading 2 + 10 pt1"/>
    <w:basedOn w:val="Cmsor2"/>
    <w:link w:val="StyleHeading210pt1Char"/>
    <w:autoRedefine/>
    <w:rsid w:val="00052AAF"/>
    <w:pPr>
      <w:numPr>
        <w:numId w:val="4"/>
      </w:numPr>
      <w:spacing w:before="360" w:after="240"/>
    </w:pPr>
    <w:rPr>
      <w:rFonts w:cs="Arial"/>
      <w:b w:val="0"/>
      <w:bCs/>
      <w:iCs/>
      <w:sz w:val="24"/>
      <w:szCs w:val="28"/>
    </w:rPr>
  </w:style>
  <w:style w:type="character" w:customStyle="1" w:styleId="StyleHeading210pt1Char">
    <w:name w:val="Style Heading 2 + 10 pt1 Char"/>
    <w:link w:val="StyleHeading210pt1"/>
    <w:rsid w:val="00052AAF"/>
    <w:rPr>
      <w:rFonts w:ascii="Arial" w:eastAsia="Times New Roman" w:hAnsi="Arial" w:cs="Arial"/>
      <w:bCs/>
      <w:iCs/>
      <w:sz w:val="24"/>
      <w:szCs w:val="28"/>
      <w:lang w:val="en-GB" w:eastAsia="fr-FR"/>
    </w:rPr>
  </w:style>
  <w:style w:type="paragraph" w:customStyle="1" w:styleId="StyleHeading3Heading3-JR10pt">
    <w:name w:val="Style Heading 3Heading 3 - JR + 10 pt"/>
    <w:basedOn w:val="Cmsor3"/>
    <w:autoRedefine/>
    <w:rsid w:val="00052AAF"/>
    <w:pPr>
      <w:numPr>
        <w:ilvl w:val="2"/>
        <w:numId w:val="3"/>
      </w:numPr>
      <w:spacing w:before="240" w:after="120"/>
    </w:pPr>
    <w:rPr>
      <w:rFonts w:ascii="Times New Roman" w:hAnsi="Times New Roman"/>
      <w:sz w:val="20"/>
      <w:szCs w:val="26"/>
      <w:lang w:val="en-GB"/>
    </w:rPr>
  </w:style>
  <w:style w:type="paragraph" w:styleId="Nincstrkz">
    <w:name w:val="No Spacing"/>
    <w:uiPriority w:val="1"/>
    <w:qFormat/>
    <w:rsid w:val="00052AA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customStyle="1" w:styleId="StyleHeading110pt">
    <w:name w:val="Style Heading 1 + 10 pt"/>
    <w:basedOn w:val="Cmsor1"/>
    <w:autoRedefine/>
    <w:rsid w:val="00AB2653"/>
    <w:pPr>
      <w:keepLines w:val="0"/>
      <w:numPr>
        <w:numId w:val="1"/>
      </w:numPr>
      <w:spacing w:after="240"/>
    </w:pPr>
    <w:rPr>
      <w:rFonts w:ascii="Times New Roman Bold" w:eastAsia="Times New Roman" w:hAnsi="Times New Roman Bold" w:cs="Times New Roman"/>
      <w:caps/>
      <w:color w:val="auto"/>
      <w:kern w:val="32"/>
      <w:szCs w:val="32"/>
      <w:lang w:eastAsia="fr-FR"/>
    </w:rPr>
  </w:style>
  <w:style w:type="character" w:customStyle="1" w:styleId="Cmsor1Char">
    <w:name w:val="Címsor 1 Char"/>
    <w:basedOn w:val="Bekezdsalapbettpusa"/>
    <w:link w:val="Cmsor1"/>
    <w:uiPriority w:val="9"/>
    <w:rsid w:val="00AB26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sk-SK"/>
    </w:rPr>
  </w:style>
  <w:style w:type="paragraph" w:customStyle="1" w:styleId="ECCParagraph">
    <w:name w:val="ECC Paragraph"/>
    <w:basedOn w:val="Norml"/>
    <w:rsid w:val="00CF7260"/>
    <w:pPr>
      <w:spacing w:after="240"/>
      <w:jc w:val="both"/>
    </w:pPr>
    <w:rPr>
      <w:rFonts w:ascii="Arial" w:hAnsi="Arial"/>
      <w:sz w:val="20"/>
      <w:szCs w:val="24"/>
      <w:lang w:eastAsia="en-US"/>
    </w:rPr>
  </w:style>
  <w:style w:type="paragraph" w:customStyle="1" w:styleId="ECCAnnex-heading1">
    <w:name w:val="ECC Annex - heading1"/>
    <w:basedOn w:val="Cmsor1"/>
    <w:next w:val="ECCParagraph"/>
    <w:rsid w:val="00CF7260"/>
    <w:pPr>
      <w:keepLines w:val="0"/>
      <w:numPr>
        <w:numId w:val="7"/>
      </w:numPr>
      <w:spacing w:before="600" w:after="240"/>
      <w:ind w:left="0"/>
    </w:pPr>
    <w:rPr>
      <w:rFonts w:ascii="Arial" w:eastAsia="Times New Roman" w:hAnsi="Arial" w:cs="Arial"/>
      <w:b w:val="0"/>
      <w:caps/>
      <w:color w:val="D2232A"/>
      <w:kern w:val="32"/>
      <w:sz w:val="20"/>
      <w:szCs w:val="32"/>
      <w:lang w:eastAsia="en-US"/>
    </w:rPr>
  </w:style>
  <w:style w:type="table" w:styleId="Rcsostblzat">
    <w:name w:val="Table Grid"/>
    <w:basedOn w:val="Normltblzat"/>
    <w:uiPriority w:val="59"/>
    <w:rsid w:val="00CF72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CCTabletitle">
    <w:name w:val="ECC Table title"/>
    <w:basedOn w:val="Norml"/>
    <w:next w:val="ECCParagraph"/>
    <w:autoRedefine/>
    <w:rsid w:val="00845C34"/>
    <w:pPr>
      <w:spacing w:before="360" w:after="240"/>
      <w:ind w:left="360" w:firstLine="348"/>
    </w:pPr>
    <w:rPr>
      <w:rFonts w:ascii="Arial" w:hAnsi="Arial" w:cs="Arial"/>
      <w:color w:val="000000" w:themeColor="text1"/>
      <w:sz w:val="22"/>
      <w:szCs w:val="22"/>
      <w:lang w:eastAsia="en-US"/>
    </w:rPr>
  </w:style>
  <w:style w:type="paragraph" w:customStyle="1" w:styleId="ECCTablenote">
    <w:name w:val="ECC Table note"/>
    <w:basedOn w:val="ECCParagraph"/>
    <w:next w:val="ECCParagraph"/>
    <w:autoRedefine/>
    <w:rsid w:val="00CF7260"/>
  </w:style>
  <w:style w:type="paragraph" w:customStyle="1" w:styleId="ECCAnnexheading2">
    <w:name w:val="ECC Annex heading2"/>
    <w:basedOn w:val="Norml"/>
    <w:next w:val="ECCParagraph"/>
    <w:rsid w:val="00CF7260"/>
    <w:pPr>
      <w:numPr>
        <w:ilvl w:val="1"/>
        <w:numId w:val="7"/>
      </w:numPr>
      <w:overflowPunct w:val="0"/>
      <w:autoSpaceDE w:val="0"/>
      <w:autoSpaceDN w:val="0"/>
      <w:adjustRightInd w:val="0"/>
      <w:spacing w:before="480" w:after="240"/>
      <w:textAlignment w:val="baseline"/>
    </w:pPr>
    <w:rPr>
      <w:rFonts w:ascii="Arial" w:hAnsi="Arial"/>
      <w:b/>
      <w:caps/>
      <w:sz w:val="20"/>
      <w:szCs w:val="24"/>
      <w:lang w:val="en-US" w:eastAsia="en-US"/>
    </w:rPr>
  </w:style>
  <w:style w:type="paragraph" w:customStyle="1" w:styleId="ECCAnnexheading3">
    <w:name w:val="ECC Annex heading3"/>
    <w:basedOn w:val="Norml"/>
    <w:next w:val="ECCParagraph"/>
    <w:rsid w:val="00CF7260"/>
    <w:pPr>
      <w:numPr>
        <w:ilvl w:val="2"/>
        <w:numId w:val="7"/>
      </w:numPr>
      <w:overflowPunct w:val="0"/>
      <w:autoSpaceDE w:val="0"/>
      <w:autoSpaceDN w:val="0"/>
      <w:adjustRightInd w:val="0"/>
      <w:spacing w:before="360" w:after="120"/>
      <w:textAlignment w:val="baseline"/>
    </w:pPr>
    <w:rPr>
      <w:rFonts w:ascii="Arial" w:hAnsi="Arial"/>
      <w:b/>
      <w:sz w:val="20"/>
      <w:szCs w:val="24"/>
      <w:lang w:val="en-US" w:eastAsia="en-US"/>
    </w:rPr>
  </w:style>
  <w:style w:type="paragraph" w:customStyle="1" w:styleId="ECCAnnexheading4">
    <w:name w:val="ECC Annex heading4"/>
    <w:basedOn w:val="Norml"/>
    <w:next w:val="ECCParagraph"/>
    <w:rsid w:val="00CF7260"/>
    <w:pPr>
      <w:numPr>
        <w:ilvl w:val="3"/>
        <w:numId w:val="7"/>
      </w:numPr>
      <w:overflowPunct w:val="0"/>
      <w:autoSpaceDE w:val="0"/>
      <w:autoSpaceDN w:val="0"/>
      <w:adjustRightInd w:val="0"/>
      <w:spacing w:before="360" w:after="120"/>
      <w:textAlignment w:val="baseline"/>
    </w:pPr>
    <w:rPr>
      <w:rFonts w:ascii="Arial" w:hAnsi="Arial"/>
      <w:i/>
      <w:color w:val="D2232A"/>
      <w:sz w:val="20"/>
      <w:szCs w:val="24"/>
      <w:lang w:val="en-US" w:eastAsia="en-US"/>
    </w:rPr>
  </w:style>
  <w:style w:type="character" w:customStyle="1" w:styleId="apple-style-span">
    <w:name w:val="apple-style-span"/>
    <w:basedOn w:val="Bekezdsalapbettpusa"/>
    <w:rsid w:val="00CF7260"/>
  </w:style>
  <w:style w:type="paragraph" w:styleId="lfej">
    <w:name w:val="header"/>
    <w:basedOn w:val="Norml"/>
    <w:link w:val="lfejChar"/>
    <w:uiPriority w:val="99"/>
    <w:semiHidden/>
    <w:unhideWhenUsed/>
    <w:rsid w:val="000F214C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0F214C"/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styleId="llb">
    <w:name w:val="footer"/>
    <w:basedOn w:val="Norml"/>
    <w:link w:val="llbChar"/>
    <w:uiPriority w:val="99"/>
    <w:unhideWhenUsed/>
    <w:rsid w:val="000F214C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0F214C"/>
    <w:rPr>
      <w:rFonts w:ascii="Times New Roman" w:eastAsia="Times New Roman" w:hAnsi="Times New Roman" w:cs="Times New Roman"/>
      <w:sz w:val="24"/>
      <w:szCs w:val="20"/>
      <w:lang w:val="en-GB" w:eastAsia="sk-SK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60FA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60FA6"/>
    <w:rPr>
      <w:rFonts w:ascii="Tahoma" w:eastAsia="Times New Roman" w:hAnsi="Tahoma" w:cs="Tahoma"/>
      <w:sz w:val="16"/>
      <w:szCs w:val="16"/>
      <w:lang w:val="en-GB"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2008</Words>
  <Characters>13859</Characters>
  <Application>Microsoft Office Word</Application>
  <DocSecurity>0</DocSecurity>
  <Lines>115</Lines>
  <Paragraphs>31</Paragraphs>
  <ScaleCrop>false</ScaleCrop>
  <HeadingPairs>
    <vt:vector size="6" baseType="variant"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NCA</Company>
  <LinksUpToDate>false</LinksUpToDate>
  <CharactersWithSpaces>15836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Informatika</dc:creator>
  <cp:lastModifiedBy>Simon István</cp:lastModifiedBy>
  <cp:revision>2</cp:revision>
  <cp:lastPrinted>2015-09-18T09:44:00Z</cp:lastPrinted>
  <dcterms:created xsi:type="dcterms:W3CDTF">2017-10-17T18:46:00Z</dcterms:created>
  <dcterms:modified xsi:type="dcterms:W3CDTF">2017-10-17T18:46:00Z</dcterms:modified>
</cp:coreProperties>
</file>